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889" w:type="dxa"/>
        <w:tblLayout w:type="fixed"/>
        <w:tblLook w:val="01E0" w:firstRow="1" w:lastRow="1" w:firstColumn="1" w:lastColumn="1" w:noHBand="0" w:noVBand="0"/>
      </w:tblPr>
      <w:tblGrid>
        <w:gridCol w:w="3510"/>
        <w:gridCol w:w="6379"/>
      </w:tblGrid>
      <w:tr w:rsidR="00920477" w:rsidRPr="00920477" w14:paraId="36412635" w14:textId="77777777">
        <w:tc>
          <w:tcPr>
            <w:tcW w:w="3510" w:type="dxa"/>
          </w:tcPr>
          <w:p w14:paraId="26098A5A" w14:textId="77777777" w:rsidR="00DB08E6" w:rsidRPr="00920477" w:rsidRDefault="00DB08E6" w:rsidP="007F06E2">
            <w:pPr>
              <w:jc w:val="center"/>
              <w:rPr>
                <w:b/>
                <w:sz w:val="26"/>
              </w:rPr>
            </w:pPr>
            <w:r w:rsidRPr="00920477">
              <w:rPr>
                <w:b/>
                <w:sz w:val="26"/>
              </w:rPr>
              <w:t>HỘI ĐỒNG NHÂN DÂN</w:t>
            </w:r>
          </w:p>
        </w:tc>
        <w:tc>
          <w:tcPr>
            <w:tcW w:w="6379" w:type="dxa"/>
          </w:tcPr>
          <w:p w14:paraId="570D59F6" w14:textId="77777777" w:rsidR="00DB08E6" w:rsidRPr="00920477" w:rsidRDefault="00DB08E6" w:rsidP="007F06E2">
            <w:pPr>
              <w:jc w:val="center"/>
              <w:rPr>
                <w:b/>
                <w:sz w:val="26"/>
              </w:rPr>
            </w:pPr>
            <w:r w:rsidRPr="00920477">
              <w:rPr>
                <w:b/>
                <w:sz w:val="26"/>
              </w:rPr>
              <w:t xml:space="preserve">CỘNG HÒA XÃ HỘI CHỦ NGHĨA VIỆT </w:t>
            </w:r>
            <w:smartTag w:uri="urn:schemas-microsoft-com:office:smarttags" w:element="country-region">
              <w:smartTag w:uri="urn:schemas-microsoft-com:office:smarttags" w:element="place">
                <w:r w:rsidRPr="00920477">
                  <w:rPr>
                    <w:b/>
                    <w:sz w:val="26"/>
                  </w:rPr>
                  <w:t>NAM</w:t>
                </w:r>
              </w:smartTag>
            </w:smartTag>
          </w:p>
        </w:tc>
      </w:tr>
      <w:tr w:rsidR="00920477" w:rsidRPr="00920477" w14:paraId="3B1B96FF" w14:textId="77777777">
        <w:tc>
          <w:tcPr>
            <w:tcW w:w="3510" w:type="dxa"/>
          </w:tcPr>
          <w:p w14:paraId="7C63920C" w14:textId="77777777" w:rsidR="00DB08E6" w:rsidRPr="00920477" w:rsidRDefault="00DB08E6" w:rsidP="007F06E2">
            <w:pPr>
              <w:jc w:val="center"/>
              <w:rPr>
                <w:b/>
                <w:sz w:val="26"/>
              </w:rPr>
            </w:pPr>
            <w:r w:rsidRPr="00920477">
              <w:rPr>
                <w:b/>
                <w:sz w:val="26"/>
              </w:rPr>
              <w:t>TỈNH ĐỒNG THÁP</w:t>
            </w:r>
          </w:p>
        </w:tc>
        <w:tc>
          <w:tcPr>
            <w:tcW w:w="6379" w:type="dxa"/>
          </w:tcPr>
          <w:p w14:paraId="12E6CB8D" w14:textId="77777777" w:rsidR="00DB08E6" w:rsidRPr="00920477" w:rsidRDefault="00DB08E6" w:rsidP="007F06E2">
            <w:pPr>
              <w:jc w:val="center"/>
              <w:rPr>
                <w:b/>
                <w:sz w:val="26"/>
              </w:rPr>
            </w:pPr>
            <w:r w:rsidRPr="00920477">
              <w:rPr>
                <w:b/>
                <w:sz w:val="26"/>
              </w:rPr>
              <w:t>Độc lập - Tự do - Hạnh phúc</w:t>
            </w:r>
          </w:p>
        </w:tc>
      </w:tr>
      <w:tr w:rsidR="00920477" w:rsidRPr="00920477" w14:paraId="3AC1BF05" w14:textId="77777777">
        <w:tc>
          <w:tcPr>
            <w:tcW w:w="3510" w:type="dxa"/>
          </w:tcPr>
          <w:p w14:paraId="2C7C8603" w14:textId="77777777" w:rsidR="00DB08E6" w:rsidRPr="009E6681" w:rsidRDefault="00DB08E6" w:rsidP="007F06E2">
            <w:pPr>
              <w:jc w:val="center"/>
              <w:rPr>
                <w:b/>
                <w:sz w:val="16"/>
                <w:szCs w:val="16"/>
              </w:rPr>
            </w:pPr>
            <w:r w:rsidRPr="009E6681">
              <w:rPr>
                <w:b/>
                <w:sz w:val="16"/>
                <w:szCs w:val="16"/>
                <w:vertAlign w:val="superscript"/>
              </w:rPr>
              <w:t>_______</w:t>
            </w:r>
            <w:r w:rsidR="009E6681">
              <w:rPr>
                <w:b/>
                <w:sz w:val="16"/>
                <w:szCs w:val="16"/>
                <w:vertAlign w:val="superscript"/>
              </w:rPr>
              <w:t>____</w:t>
            </w:r>
            <w:r w:rsidRPr="009E6681">
              <w:rPr>
                <w:b/>
                <w:sz w:val="16"/>
                <w:szCs w:val="16"/>
                <w:vertAlign w:val="superscript"/>
              </w:rPr>
              <w:t>________</w:t>
            </w:r>
          </w:p>
        </w:tc>
        <w:tc>
          <w:tcPr>
            <w:tcW w:w="6379" w:type="dxa"/>
          </w:tcPr>
          <w:p w14:paraId="402DDE9B" w14:textId="77777777" w:rsidR="00DB08E6" w:rsidRPr="009E6681" w:rsidRDefault="00DB08E6" w:rsidP="007F06E2">
            <w:pPr>
              <w:jc w:val="center"/>
              <w:rPr>
                <w:b/>
                <w:sz w:val="16"/>
                <w:szCs w:val="16"/>
                <w:vertAlign w:val="superscript"/>
              </w:rPr>
            </w:pPr>
            <w:r w:rsidRPr="009E6681">
              <w:rPr>
                <w:b/>
                <w:sz w:val="16"/>
                <w:szCs w:val="16"/>
                <w:vertAlign w:val="superscript"/>
              </w:rPr>
              <w:t>________________</w:t>
            </w:r>
            <w:r w:rsidR="009E6681">
              <w:rPr>
                <w:b/>
                <w:sz w:val="16"/>
                <w:szCs w:val="16"/>
                <w:vertAlign w:val="superscript"/>
              </w:rPr>
              <w:softHyphen/>
            </w:r>
            <w:r w:rsidR="009E6681">
              <w:rPr>
                <w:b/>
                <w:sz w:val="16"/>
                <w:szCs w:val="16"/>
                <w:vertAlign w:val="superscript"/>
              </w:rPr>
              <w:softHyphen/>
            </w:r>
            <w:r w:rsidR="009E6681">
              <w:rPr>
                <w:b/>
                <w:sz w:val="16"/>
                <w:szCs w:val="16"/>
                <w:vertAlign w:val="superscript"/>
              </w:rPr>
              <w:softHyphen/>
            </w:r>
            <w:r w:rsidR="009E6681">
              <w:rPr>
                <w:b/>
                <w:sz w:val="16"/>
                <w:szCs w:val="16"/>
                <w:vertAlign w:val="superscript"/>
              </w:rPr>
              <w:softHyphen/>
            </w:r>
            <w:r w:rsidR="009E6681">
              <w:rPr>
                <w:b/>
                <w:sz w:val="16"/>
                <w:szCs w:val="16"/>
                <w:vertAlign w:val="superscript"/>
              </w:rPr>
              <w:softHyphen/>
            </w:r>
            <w:r w:rsidR="009E6681">
              <w:rPr>
                <w:b/>
                <w:sz w:val="16"/>
                <w:szCs w:val="16"/>
                <w:vertAlign w:val="superscript"/>
              </w:rPr>
              <w:softHyphen/>
            </w:r>
            <w:r w:rsidR="009E6681">
              <w:rPr>
                <w:b/>
                <w:sz w:val="16"/>
                <w:szCs w:val="16"/>
                <w:vertAlign w:val="superscript"/>
              </w:rPr>
              <w:softHyphen/>
            </w:r>
            <w:r w:rsidR="009E6681">
              <w:rPr>
                <w:b/>
                <w:sz w:val="16"/>
                <w:szCs w:val="16"/>
                <w:vertAlign w:val="superscript"/>
              </w:rPr>
              <w:softHyphen/>
            </w:r>
            <w:r w:rsidR="009E6681">
              <w:rPr>
                <w:b/>
                <w:sz w:val="16"/>
                <w:szCs w:val="16"/>
                <w:vertAlign w:val="superscript"/>
              </w:rPr>
              <w:softHyphen/>
            </w:r>
            <w:r w:rsidR="009E6681">
              <w:rPr>
                <w:b/>
                <w:sz w:val="16"/>
                <w:szCs w:val="16"/>
                <w:vertAlign w:val="superscript"/>
              </w:rPr>
              <w:softHyphen/>
            </w:r>
            <w:r w:rsidR="009E6681">
              <w:rPr>
                <w:b/>
                <w:sz w:val="16"/>
                <w:szCs w:val="16"/>
                <w:vertAlign w:val="superscript"/>
              </w:rPr>
              <w:softHyphen/>
            </w:r>
            <w:r w:rsidR="009E6681">
              <w:rPr>
                <w:b/>
                <w:sz w:val="16"/>
                <w:szCs w:val="16"/>
                <w:vertAlign w:val="superscript"/>
              </w:rPr>
              <w:softHyphen/>
              <w:t>_________________________</w:t>
            </w:r>
            <w:r w:rsidRPr="009E6681">
              <w:rPr>
                <w:b/>
                <w:sz w:val="16"/>
                <w:szCs w:val="16"/>
                <w:vertAlign w:val="superscript"/>
              </w:rPr>
              <w:t>____________________</w:t>
            </w:r>
          </w:p>
        </w:tc>
      </w:tr>
      <w:tr w:rsidR="00DB08E6" w:rsidRPr="00920477" w14:paraId="6115EB85" w14:textId="77777777">
        <w:tc>
          <w:tcPr>
            <w:tcW w:w="3510" w:type="dxa"/>
          </w:tcPr>
          <w:p w14:paraId="35C9ED12" w14:textId="146A8188" w:rsidR="00DB08E6" w:rsidRPr="00920477" w:rsidRDefault="00366575" w:rsidP="00203F72">
            <w:pPr>
              <w:jc w:val="center"/>
              <w:rPr>
                <w:sz w:val="26"/>
              </w:rPr>
            </w:pPr>
            <w:r>
              <w:rPr>
                <w:sz w:val="26"/>
              </w:rPr>
              <w:t xml:space="preserve">Số: </w:t>
            </w:r>
            <w:r w:rsidR="00655A4E">
              <w:rPr>
                <w:sz w:val="26"/>
              </w:rPr>
              <w:t xml:space="preserve">         </w:t>
            </w:r>
            <w:r w:rsidR="00DB08E6" w:rsidRPr="00920477">
              <w:rPr>
                <w:sz w:val="26"/>
              </w:rPr>
              <w:t>/NQ-HĐND</w:t>
            </w:r>
          </w:p>
        </w:tc>
        <w:tc>
          <w:tcPr>
            <w:tcW w:w="6379" w:type="dxa"/>
          </w:tcPr>
          <w:p w14:paraId="1E98A59B" w14:textId="300E867B" w:rsidR="00DB08E6" w:rsidRPr="00920477" w:rsidRDefault="00DB08E6" w:rsidP="009E6681">
            <w:pPr>
              <w:jc w:val="center"/>
              <w:rPr>
                <w:i/>
                <w:sz w:val="26"/>
              </w:rPr>
            </w:pPr>
            <w:r w:rsidRPr="00920477">
              <w:rPr>
                <w:i/>
                <w:sz w:val="26"/>
              </w:rPr>
              <w:t>Đồng Tháp, n</w:t>
            </w:r>
            <w:r w:rsidR="00AE396F" w:rsidRPr="00920477">
              <w:rPr>
                <w:i/>
                <w:sz w:val="26"/>
              </w:rPr>
              <w:t xml:space="preserve">gày </w:t>
            </w:r>
            <w:r w:rsidR="00655A4E">
              <w:rPr>
                <w:i/>
                <w:sz w:val="26"/>
              </w:rPr>
              <w:t xml:space="preserve">      </w:t>
            </w:r>
            <w:r w:rsidR="00AE396F" w:rsidRPr="00920477">
              <w:rPr>
                <w:i/>
                <w:sz w:val="26"/>
              </w:rPr>
              <w:t xml:space="preserve"> tháng </w:t>
            </w:r>
            <w:r w:rsidR="009E6681">
              <w:rPr>
                <w:i/>
                <w:sz w:val="26"/>
              </w:rPr>
              <w:t>12</w:t>
            </w:r>
            <w:r w:rsidR="00AE396F" w:rsidRPr="00920477">
              <w:rPr>
                <w:i/>
                <w:sz w:val="26"/>
              </w:rPr>
              <w:t xml:space="preserve"> năm 20</w:t>
            </w:r>
            <w:r w:rsidR="00366575">
              <w:rPr>
                <w:i/>
                <w:sz w:val="26"/>
              </w:rPr>
              <w:t>20</w:t>
            </w:r>
          </w:p>
        </w:tc>
      </w:tr>
    </w:tbl>
    <w:p w14:paraId="20F940B5" w14:textId="77777777" w:rsidR="007A0264" w:rsidRPr="00752AB0" w:rsidRDefault="007A0264" w:rsidP="00A6019F">
      <w:pPr>
        <w:jc w:val="center"/>
        <w:rPr>
          <w:b/>
          <w:sz w:val="24"/>
        </w:rPr>
      </w:pPr>
    </w:p>
    <w:p w14:paraId="15342F1B" w14:textId="77777777" w:rsidR="00696524" w:rsidRPr="00920477" w:rsidRDefault="00696524">
      <w:pPr>
        <w:jc w:val="center"/>
        <w:rPr>
          <w:b/>
          <w:sz w:val="28"/>
        </w:rPr>
      </w:pPr>
      <w:r w:rsidRPr="00920477">
        <w:rPr>
          <w:b/>
          <w:sz w:val="28"/>
        </w:rPr>
        <w:t>NGHỊ QUYẾT</w:t>
      </w:r>
    </w:p>
    <w:p w14:paraId="0DFFE000" w14:textId="77777777" w:rsidR="00696524" w:rsidRPr="00920477" w:rsidRDefault="00C2365D">
      <w:pPr>
        <w:jc w:val="center"/>
        <w:rPr>
          <w:b/>
          <w:sz w:val="28"/>
        </w:rPr>
      </w:pPr>
      <w:r w:rsidRPr="00920477">
        <w:rPr>
          <w:b/>
          <w:sz w:val="28"/>
        </w:rPr>
        <w:t xml:space="preserve">Về việc thông qua phương án </w:t>
      </w:r>
      <w:r w:rsidR="005A2145" w:rsidRPr="00920477">
        <w:rPr>
          <w:b/>
          <w:sz w:val="28"/>
          <w:szCs w:val="28"/>
        </w:rPr>
        <w:t xml:space="preserve">điều chỉnh </w:t>
      </w:r>
      <w:r w:rsidR="00C4553D" w:rsidRPr="00920477">
        <w:rPr>
          <w:b/>
          <w:sz w:val="28"/>
          <w:szCs w:val="28"/>
        </w:rPr>
        <w:t xml:space="preserve">kế hoạch vốn đầu tư </w:t>
      </w:r>
      <w:r w:rsidR="005A2145" w:rsidRPr="00920477">
        <w:rPr>
          <w:b/>
          <w:sz w:val="28"/>
          <w:szCs w:val="28"/>
        </w:rPr>
        <w:t>công</w:t>
      </w:r>
      <w:r w:rsidR="00C4553D" w:rsidRPr="00920477">
        <w:rPr>
          <w:b/>
          <w:sz w:val="28"/>
          <w:szCs w:val="28"/>
        </w:rPr>
        <w:t xml:space="preserve"> </w:t>
      </w:r>
      <w:r w:rsidR="0041157B">
        <w:rPr>
          <w:b/>
          <w:sz w:val="28"/>
          <w:szCs w:val="28"/>
        </w:rPr>
        <w:t>năm 2020</w:t>
      </w:r>
      <w:r w:rsidR="00CE3AE9">
        <w:rPr>
          <w:b/>
          <w:sz w:val="28"/>
          <w:szCs w:val="28"/>
        </w:rPr>
        <w:t xml:space="preserve"> từ nguồn</w:t>
      </w:r>
      <w:r w:rsidR="00C4553D" w:rsidRPr="00920477">
        <w:rPr>
          <w:b/>
          <w:sz w:val="28"/>
          <w:szCs w:val="28"/>
        </w:rPr>
        <w:t xml:space="preserve"> ngân sách Nhà nước</w:t>
      </w:r>
    </w:p>
    <w:p w14:paraId="2C411487" w14:textId="77777777" w:rsidR="00F45CE2" w:rsidRPr="00920477" w:rsidRDefault="00F45CE2">
      <w:pPr>
        <w:jc w:val="center"/>
        <w:rPr>
          <w:b/>
          <w:sz w:val="12"/>
        </w:rPr>
      </w:pPr>
    </w:p>
    <w:p w14:paraId="57BD3F2E" w14:textId="77777777" w:rsidR="00C2365D" w:rsidRPr="00920477" w:rsidRDefault="001723A8">
      <w:pPr>
        <w:jc w:val="center"/>
        <w:rPr>
          <w:b/>
          <w:sz w:val="28"/>
        </w:rPr>
      </w:pPr>
      <w:r>
        <w:rPr>
          <w:b/>
          <w:noProof/>
          <w:lang w:val="vi-VN" w:eastAsia="vi-VN"/>
        </w:rPr>
        <mc:AlternateContent>
          <mc:Choice Requires="wps">
            <w:drawing>
              <wp:anchor distT="4294967295" distB="4294967295" distL="114300" distR="114300" simplePos="0" relativeHeight="251657216" behindDoc="0" locked="0" layoutInCell="1" allowOverlap="1" wp14:anchorId="496E413A" wp14:editId="25C91E05">
                <wp:simplePos x="0" y="0"/>
                <wp:positionH relativeFrom="column">
                  <wp:posOffset>2356485</wp:posOffset>
                </wp:positionH>
                <wp:positionV relativeFrom="paragraph">
                  <wp:posOffset>32384</wp:posOffset>
                </wp:positionV>
                <wp:extent cx="1143000" cy="0"/>
                <wp:effectExtent l="0" t="0" r="19050" b="1905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645571" id="Line 2"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5.55pt,2.55pt" to="275.55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"/>
            </w:pict>
          </mc:Fallback>
        </mc:AlternateContent>
      </w:r>
    </w:p>
    <w:p w14:paraId="122DB423" w14:textId="77777777" w:rsidR="00696524" w:rsidRPr="00920477" w:rsidRDefault="00696524">
      <w:pPr>
        <w:jc w:val="center"/>
        <w:rPr>
          <w:b/>
          <w:sz w:val="28"/>
        </w:rPr>
      </w:pPr>
      <w:r w:rsidRPr="00920477">
        <w:rPr>
          <w:b/>
          <w:sz w:val="28"/>
        </w:rPr>
        <w:t>HỘI ĐỒNG NHÂN DÂN TỈNH ĐỒNG THÁP</w:t>
      </w:r>
    </w:p>
    <w:p w14:paraId="7E644FD1" w14:textId="77777777" w:rsidR="00696524" w:rsidRPr="00203F72" w:rsidRDefault="00797E1D">
      <w:pPr>
        <w:jc w:val="center"/>
        <w:rPr>
          <w:b/>
          <w:sz w:val="28"/>
        </w:rPr>
      </w:pPr>
      <w:r w:rsidRPr="00203F72">
        <w:rPr>
          <w:b/>
          <w:sz w:val="28"/>
        </w:rPr>
        <w:t>KHÓA IX</w:t>
      </w:r>
      <w:r w:rsidR="006039BB">
        <w:rPr>
          <w:b/>
          <w:sz w:val="28"/>
        </w:rPr>
        <w:t xml:space="preserve"> -</w:t>
      </w:r>
      <w:r w:rsidR="00696524" w:rsidRPr="00203F72">
        <w:rPr>
          <w:b/>
          <w:sz w:val="28"/>
        </w:rPr>
        <w:t xml:space="preserve"> KỲ HỌP THỨ</w:t>
      </w:r>
      <w:r w:rsidR="009E6681" w:rsidRPr="00203F72">
        <w:rPr>
          <w:b/>
          <w:sz w:val="28"/>
        </w:rPr>
        <w:t xml:space="preserve"> MƯỜI BẢY</w:t>
      </w:r>
    </w:p>
    <w:p w14:paraId="69571277" w14:textId="77777777" w:rsidR="00696524" w:rsidRPr="00920477" w:rsidRDefault="00696524">
      <w:pPr>
        <w:jc w:val="center"/>
        <w:rPr>
          <w:b/>
          <w:sz w:val="16"/>
        </w:rPr>
      </w:pPr>
    </w:p>
    <w:p w14:paraId="62C379E2" w14:textId="77777777" w:rsidR="00655A4E" w:rsidRPr="00655A4E" w:rsidRDefault="00696524" w:rsidP="00655A4E">
      <w:pPr>
        <w:spacing w:before="60" w:line="276" w:lineRule="auto"/>
        <w:jc w:val="both"/>
        <w:rPr>
          <w:i/>
          <w:spacing w:val="-4"/>
          <w:sz w:val="28"/>
        </w:rPr>
      </w:pPr>
      <w:r w:rsidRPr="00920477">
        <w:rPr>
          <w:sz w:val="28"/>
        </w:rPr>
        <w:tab/>
      </w:r>
      <w:r w:rsidRPr="00655A4E">
        <w:rPr>
          <w:i/>
          <w:spacing w:val="-4"/>
          <w:sz w:val="28"/>
        </w:rPr>
        <w:t xml:space="preserve">Căn cứ Luật </w:t>
      </w:r>
      <w:r w:rsidR="00422812" w:rsidRPr="00655A4E">
        <w:rPr>
          <w:i/>
          <w:spacing w:val="-4"/>
          <w:sz w:val="28"/>
        </w:rPr>
        <w:t>Tổ chức Chính quyền địa phương ngày 19 tháng 6 năm 2015</w:t>
      </w:r>
      <w:r w:rsidRPr="00655A4E">
        <w:rPr>
          <w:i/>
          <w:spacing w:val="-4"/>
          <w:sz w:val="28"/>
        </w:rPr>
        <w:t>;</w:t>
      </w:r>
    </w:p>
    <w:p w14:paraId="6F887131" w14:textId="046CF36E" w:rsidR="00D617CB" w:rsidRPr="00A278B7" w:rsidRDefault="00D617CB" w:rsidP="00655A4E">
      <w:pPr>
        <w:spacing w:before="60" w:line="276" w:lineRule="auto"/>
        <w:ind w:firstLine="720"/>
        <w:jc w:val="both"/>
        <w:rPr>
          <w:i/>
          <w:sz w:val="28"/>
          <w:szCs w:val="28"/>
        </w:rPr>
      </w:pPr>
      <w:r w:rsidRPr="00A278B7">
        <w:rPr>
          <w:i/>
          <w:sz w:val="28"/>
          <w:szCs w:val="28"/>
        </w:rPr>
        <w:t>Căn cứ Luật sửa đổi, bổ sung một số điều của Luật tổ chức Chính phủ và Luật tổ chức chính quyền địa phương ngày 22/11/2019</w:t>
      </w:r>
      <w:r w:rsidR="00EF055B" w:rsidRPr="00A278B7">
        <w:rPr>
          <w:i/>
          <w:sz w:val="28"/>
          <w:szCs w:val="28"/>
        </w:rPr>
        <w:t>;</w:t>
      </w:r>
    </w:p>
    <w:p w14:paraId="606B4B3A" w14:textId="77777777" w:rsidR="00474E8C" w:rsidRPr="00A278B7" w:rsidRDefault="00474E8C" w:rsidP="00655A4E">
      <w:pPr>
        <w:spacing w:before="60" w:line="276" w:lineRule="auto"/>
        <w:ind w:firstLine="720"/>
        <w:jc w:val="both"/>
        <w:rPr>
          <w:i/>
          <w:sz w:val="28"/>
        </w:rPr>
      </w:pPr>
      <w:r w:rsidRPr="00A278B7">
        <w:rPr>
          <w:i/>
          <w:sz w:val="28"/>
        </w:rPr>
        <w:t>Căn cứ Luật Ngân sách nhà nước ngày 25 tháng 6 năm 2015;</w:t>
      </w:r>
    </w:p>
    <w:p w14:paraId="0F31D59A" w14:textId="77777777" w:rsidR="00D617CB" w:rsidRPr="00A278B7" w:rsidRDefault="00D617CB" w:rsidP="00655A4E">
      <w:pPr>
        <w:spacing w:before="60" w:line="276" w:lineRule="auto"/>
        <w:ind w:firstLine="720"/>
        <w:jc w:val="both"/>
        <w:rPr>
          <w:i/>
          <w:sz w:val="28"/>
          <w:szCs w:val="28"/>
        </w:rPr>
      </w:pPr>
      <w:r w:rsidRPr="00A278B7">
        <w:rPr>
          <w:i/>
          <w:sz w:val="28"/>
          <w:szCs w:val="28"/>
        </w:rPr>
        <w:t>Căn cứ Luật Đầu tư công ngày 13/6/2019;</w:t>
      </w:r>
    </w:p>
    <w:p w14:paraId="05DC2D25" w14:textId="77777777" w:rsidR="00D15C40" w:rsidRPr="00A278B7" w:rsidRDefault="00D15C40" w:rsidP="00655A4E">
      <w:pPr>
        <w:spacing w:before="60" w:line="276" w:lineRule="auto"/>
        <w:ind w:firstLine="720"/>
        <w:jc w:val="both"/>
        <w:rPr>
          <w:i/>
          <w:sz w:val="28"/>
          <w:szCs w:val="28"/>
        </w:rPr>
      </w:pPr>
      <w:r w:rsidRPr="00A278B7">
        <w:rPr>
          <w:i/>
          <w:sz w:val="28"/>
          <w:szCs w:val="28"/>
        </w:rPr>
        <w:t>Căn cứ Nghị định số 40/2020/NĐ-CP ngày 06/4/2020 của Chính phủ quy định chi tiết thi hành một số điều của Luật Đầu tư công;</w:t>
      </w:r>
    </w:p>
    <w:p w14:paraId="6ABCA0C2" w14:textId="77777777" w:rsidR="00696524" w:rsidRPr="0045159F" w:rsidRDefault="00696524" w:rsidP="00655A4E">
      <w:pPr>
        <w:spacing w:before="60" w:line="276" w:lineRule="auto"/>
        <w:jc w:val="both"/>
        <w:rPr>
          <w:sz w:val="28"/>
        </w:rPr>
      </w:pPr>
      <w:r w:rsidRPr="00A278B7">
        <w:rPr>
          <w:i/>
          <w:sz w:val="28"/>
        </w:rPr>
        <w:tab/>
      </w:r>
      <w:r w:rsidR="00D617CB" w:rsidRPr="00A278B7">
        <w:rPr>
          <w:i/>
          <w:sz w:val="28"/>
        </w:rPr>
        <w:t>Theo</w:t>
      </w:r>
      <w:r w:rsidRPr="00A278B7">
        <w:rPr>
          <w:i/>
          <w:sz w:val="28"/>
        </w:rPr>
        <w:t xml:space="preserve"> Tờ trình số </w:t>
      </w:r>
      <w:r w:rsidR="009E6681" w:rsidRPr="00A278B7">
        <w:rPr>
          <w:i/>
          <w:sz w:val="28"/>
        </w:rPr>
        <w:t>316</w:t>
      </w:r>
      <w:r w:rsidRPr="00A278B7">
        <w:rPr>
          <w:i/>
          <w:sz w:val="28"/>
        </w:rPr>
        <w:t xml:space="preserve">/TTr-UBND ngày </w:t>
      </w:r>
      <w:r w:rsidR="009E6681" w:rsidRPr="00A278B7">
        <w:rPr>
          <w:i/>
          <w:sz w:val="28"/>
        </w:rPr>
        <w:t>13</w:t>
      </w:r>
      <w:r w:rsidRPr="00A278B7">
        <w:rPr>
          <w:i/>
          <w:sz w:val="28"/>
        </w:rPr>
        <w:t xml:space="preserve"> tháng </w:t>
      </w:r>
      <w:r w:rsidR="009E6681" w:rsidRPr="00A278B7">
        <w:rPr>
          <w:i/>
          <w:sz w:val="28"/>
        </w:rPr>
        <w:t>11</w:t>
      </w:r>
      <w:r w:rsidRPr="00A278B7">
        <w:rPr>
          <w:i/>
          <w:sz w:val="28"/>
        </w:rPr>
        <w:t xml:space="preserve"> năm 20</w:t>
      </w:r>
      <w:r w:rsidR="00B556BA" w:rsidRPr="00A278B7">
        <w:rPr>
          <w:i/>
          <w:sz w:val="28"/>
        </w:rPr>
        <w:t>20</w:t>
      </w:r>
      <w:r w:rsidRPr="00A278B7">
        <w:rPr>
          <w:i/>
          <w:sz w:val="28"/>
        </w:rPr>
        <w:t xml:space="preserve"> của Ủy ban nhân dân Tỉnh về việc </w:t>
      </w:r>
      <w:r w:rsidR="007B539E" w:rsidRPr="00A278B7">
        <w:rPr>
          <w:i/>
          <w:sz w:val="28"/>
        </w:rPr>
        <w:t>thông qua phương án</w:t>
      </w:r>
      <w:r w:rsidR="007B539E" w:rsidRPr="00A278B7">
        <w:rPr>
          <w:b/>
          <w:i/>
          <w:sz w:val="28"/>
          <w:szCs w:val="28"/>
        </w:rPr>
        <w:t xml:space="preserve"> </w:t>
      </w:r>
      <w:r w:rsidR="0016415A" w:rsidRPr="00A278B7">
        <w:rPr>
          <w:i/>
          <w:sz w:val="28"/>
          <w:szCs w:val="28"/>
        </w:rPr>
        <w:t>điều chỉnh</w:t>
      </w:r>
      <w:r w:rsidR="00A7471E" w:rsidRPr="00A278B7">
        <w:rPr>
          <w:i/>
          <w:sz w:val="28"/>
          <w:szCs w:val="28"/>
        </w:rPr>
        <w:t xml:space="preserve"> </w:t>
      </w:r>
      <w:r w:rsidR="0016415A" w:rsidRPr="00A278B7">
        <w:rPr>
          <w:i/>
          <w:sz w:val="28"/>
          <w:szCs w:val="28"/>
        </w:rPr>
        <w:t xml:space="preserve">kế hoạch </w:t>
      </w:r>
      <w:r w:rsidR="005A2145" w:rsidRPr="00A278B7">
        <w:rPr>
          <w:i/>
          <w:sz w:val="28"/>
          <w:szCs w:val="28"/>
        </w:rPr>
        <w:t xml:space="preserve">vốn </w:t>
      </w:r>
      <w:r w:rsidR="0016415A" w:rsidRPr="00A278B7">
        <w:rPr>
          <w:i/>
          <w:sz w:val="28"/>
          <w:szCs w:val="28"/>
        </w:rPr>
        <w:t xml:space="preserve">đầu tư </w:t>
      </w:r>
      <w:r w:rsidR="005A2145" w:rsidRPr="00A278B7">
        <w:rPr>
          <w:i/>
          <w:sz w:val="28"/>
          <w:szCs w:val="28"/>
        </w:rPr>
        <w:t xml:space="preserve">công </w:t>
      </w:r>
      <w:r w:rsidR="00B556BA" w:rsidRPr="00A278B7">
        <w:rPr>
          <w:i/>
          <w:sz w:val="28"/>
          <w:szCs w:val="28"/>
        </w:rPr>
        <w:t>năm 2020</w:t>
      </w:r>
      <w:r w:rsidR="00550564" w:rsidRPr="00A278B7">
        <w:rPr>
          <w:i/>
          <w:sz w:val="28"/>
          <w:szCs w:val="28"/>
        </w:rPr>
        <w:t xml:space="preserve"> từ nguồn </w:t>
      </w:r>
      <w:r w:rsidR="0016415A" w:rsidRPr="00A278B7">
        <w:rPr>
          <w:i/>
          <w:sz w:val="28"/>
          <w:szCs w:val="28"/>
        </w:rPr>
        <w:t>ngân sách Nhà nước</w:t>
      </w:r>
      <w:r w:rsidRPr="00A278B7">
        <w:rPr>
          <w:i/>
          <w:sz w:val="28"/>
        </w:rPr>
        <w:t xml:space="preserve">; Báo cáo thẩm tra </w:t>
      </w:r>
      <w:r w:rsidR="0045159F" w:rsidRPr="00A278B7">
        <w:rPr>
          <w:i/>
          <w:sz w:val="28"/>
        </w:rPr>
        <w:t xml:space="preserve">số 367/BC-HĐND ngày 02 tháng 12 năm 2020 </w:t>
      </w:r>
      <w:r w:rsidRPr="00A278B7">
        <w:rPr>
          <w:i/>
          <w:sz w:val="28"/>
        </w:rPr>
        <w:t>của Ban Kinh tế Ngân sách Hội đồng nhân dân Tỉnh</w:t>
      </w:r>
      <w:r w:rsidR="009E6681" w:rsidRPr="00A278B7">
        <w:rPr>
          <w:i/>
          <w:sz w:val="28"/>
        </w:rPr>
        <w:t>; ý kiến thảo luận của đại biểu Hội đồng nhân dân tại kỳ họp.</w:t>
      </w:r>
    </w:p>
    <w:p w14:paraId="617014C8" w14:textId="77777777" w:rsidR="00696524" w:rsidRPr="00920477" w:rsidRDefault="001F2824" w:rsidP="00655A4E">
      <w:pPr>
        <w:spacing w:before="360" w:after="360"/>
        <w:jc w:val="center"/>
        <w:rPr>
          <w:b/>
          <w:sz w:val="28"/>
        </w:rPr>
      </w:pPr>
      <w:r w:rsidRPr="00920477">
        <w:rPr>
          <w:b/>
          <w:sz w:val="28"/>
        </w:rPr>
        <w:t>QUYẾ</w:t>
      </w:r>
      <w:r w:rsidR="00696524" w:rsidRPr="00920477">
        <w:rPr>
          <w:b/>
          <w:sz w:val="28"/>
        </w:rPr>
        <w:t>T NGHỊ:</w:t>
      </w:r>
    </w:p>
    <w:p w14:paraId="23DA227C" w14:textId="77777777" w:rsidR="00696524" w:rsidRPr="00920477" w:rsidRDefault="00696524">
      <w:pPr>
        <w:jc w:val="center"/>
        <w:rPr>
          <w:b/>
          <w:sz w:val="6"/>
        </w:rPr>
      </w:pPr>
    </w:p>
    <w:p w14:paraId="0269C31F" w14:textId="77777777" w:rsidR="00696524" w:rsidRPr="00920477" w:rsidRDefault="00696524" w:rsidP="00655A4E">
      <w:pPr>
        <w:spacing w:before="60" w:after="60" w:line="276" w:lineRule="auto"/>
        <w:ind w:firstLine="720"/>
        <w:jc w:val="both"/>
        <w:rPr>
          <w:sz w:val="28"/>
        </w:rPr>
      </w:pPr>
      <w:r w:rsidRPr="00920477">
        <w:rPr>
          <w:b/>
          <w:sz w:val="28"/>
        </w:rPr>
        <w:t>Điều 1.</w:t>
      </w:r>
      <w:r w:rsidRPr="00920477">
        <w:rPr>
          <w:sz w:val="28"/>
        </w:rPr>
        <w:t xml:space="preserve"> T</w:t>
      </w:r>
      <w:r w:rsidR="007348EF" w:rsidRPr="00920477">
        <w:rPr>
          <w:sz w:val="28"/>
        </w:rPr>
        <w:t xml:space="preserve">hống nhất </w:t>
      </w:r>
      <w:r w:rsidR="00F62AE8" w:rsidRPr="00920477">
        <w:rPr>
          <w:sz w:val="28"/>
        </w:rPr>
        <w:t xml:space="preserve">phương án </w:t>
      </w:r>
      <w:r w:rsidR="00083DBA" w:rsidRPr="00920477">
        <w:rPr>
          <w:sz w:val="28"/>
        </w:rPr>
        <w:t>điều chỉnh</w:t>
      </w:r>
      <w:r w:rsidR="00A5132F">
        <w:rPr>
          <w:sz w:val="28"/>
        </w:rPr>
        <w:t xml:space="preserve"> </w:t>
      </w:r>
      <w:r w:rsidR="00083DBA" w:rsidRPr="00920477">
        <w:rPr>
          <w:bCs/>
          <w:sz w:val="28"/>
          <w:szCs w:val="28"/>
        </w:rPr>
        <w:t xml:space="preserve">kế hoạch vốn </w:t>
      </w:r>
      <w:r w:rsidR="005A2145" w:rsidRPr="00920477">
        <w:rPr>
          <w:bCs/>
          <w:sz w:val="28"/>
          <w:szCs w:val="28"/>
        </w:rPr>
        <w:t>đầu tư công</w:t>
      </w:r>
      <w:r w:rsidR="00083DBA" w:rsidRPr="00920477">
        <w:rPr>
          <w:bCs/>
          <w:sz w:val="28"/>
          <w:szCs w:val="28"/>
        </w:rPr>
        <w:t xml:space="preserve"> năm 20</w:t>
      </w:r>
      <w:r w:rsidR="00FE659F">
        <w:rPr>
          <w:bCs/>
          <w:sz w:val="28"/>
          <w:szCs w:val="28"/>
        </w:rPr>
        <w:t>20</w:t>
      </w:r>
      <w:r w:rsidR="00A7471E">
        <w:rPr>
          <w:bCs/>
          <w:sz w:val="28"/>
          <w:szCs w:val="28"/>
        </w:rPr>
        <w:t xml:space="preserve"> </w:t>
      </w:r>
      <w:r w:rsidR="006D2B3B">
        <w:rPr>
          <w:bCs/>
          <w:sz w:val="28"/>
          <w:szCs w:val="28"/>
        </w:rPr>
        <w:t>từ</w:t>
      </w:r>
      <w:r w:rsidR="005A2145" w:rsidRPr="00920477">
        <w:rPr>
          <w:bCs/>
          <w:sz w:val="28"/>
          <w:szCs w:val="28"/>
        </w:rPr>
        <w:t xml:space="preserve"> </w:t>
      </w:r>
      <w:r w:rsidR="00083DBA" w:rsidRPr="00920477">
        <w:rPr>
          <w:sz w:val="28"/>
        </w:rPr>
        <w:t>nguồn ngân sách nhà nước</w:t>
      </w:r>
      <w:r w:rsidRPr="00920477">
        <w:rPr>
          <w:sz w:val="28"/>
        </w:rPr>
        <w:t>, với những nội dung như sau:</w:t>
      </w:r>
    </w:p>
    <w:p w14:paraId="2E6F2819" w14:textId="77777777" w:rsidR="00082843" w:rsidRDefault="00082843" w:rsidP="00655A4E">
      <w:pPr>
        <w:pStyle w:val="BodyText"/>
        <w:spacing w:before="60" w:after="60" w:line="276" w:lineRule="auto"/>
        <w:ind w:firstLine="709"/>
        <w:jc w:val="both"/>
        <w:rPr>
          <w:sz w:val="28"/>
          <w:szCs w:val="28"/>
        </w:rPr>
      </w:pPr>
      <w:r>
        <w:rPr>
          <w:b/>
          <w:sz w:val="28"/>
          <w:szCs w:val="28"/>
        </w:rPr>
        <w:t>1. Nguyên tắc</w:t>
      </w:r>
      <w:r w:rsidRPr="00730FA0">
        <w:rPr>
          <w:b/>
          <w:sz w:val="28"/>
          <w:szCs w:val="28"/>
        </w:rPr>
        <w:t xml:space="preserve"> </w:t>
      </w:r>
      <w:r>
        <w:rPr>
          <w:b/>
          <w:sz w:val="28"/>
          <w:szCs w:val="28"/>
        </w:rPr>
        <w:t xml:space="preserve">chung về </w:t>
      </w:r>
      <w:r w:rsidRPr="00730FA0">
        <w:rPr>
          <w:b/>
          <w:sz w:val="28"/>
          <w:szCs w:val="28"/>
        </w:rPr>
        <w:t>điều chỉnh kế hoạch</w:t>
      </w:r>
      <w:r w:rsidR="00930E19">
        <w:rPr>
          <w:b/>
          <w:sz w:val="28"/>
          <w:szCs w:val="28"/>
        </w:rPr>
        <w:t>.</w:t>
      </w:r>
    </w:p>
    <w:p w14:paraId="79620486" w14:textId="77777777" w:rsidR="00241B99" w:rsidRPr="00203F72" w:rsidRDefault="0045159F" w:rsidP="00655A4E">
      <w:pPr>
        <w:pStyle w:val="BodyText"/>
        <w:spacing w:before="60" w:after="60" w:line="276" w:lineRule="auto"/>
        <w:ind w:firstLine="706"/>
        <w:jc w:val="both"/>
        <w:rPr>
          <w:sz w:val="28"/>
          <w:szCs w:val="28"/>
        </w:rPr>
      </w:pPr>
      <w:r w:rsidRPr="00203F72">
        <w:rPr>
          <w:sz w:val="28"/>
          <w:szCs w:val="28"/>
        </w:rPr>
        <w:t>a)</w:t>
      </w:r>
      <w:r w:rsidR="00241B99" w:rsidRPr="00203F72">
        <w:rPr>
          <w:sz w:val="28"/>
          <w:szCs w:val="28"/>
        </w:rPr>
        <w:t xml:space="preserve"> Điều chỉnh bổ sung, tăng kế hoạch vốn của các dự án đẩy nhanh tiến độ, ước giá tr</w:t>
      </w:r>
      <w:r w:rsidR="003066E2" w:rsidRPr="00203F72">
        <w:rPr>
          <w:sz w:val="28"/>
          <w:szCs w:val="28"/>
        </w:rPr>
        <w:t>ị giải ngân cả năm đạt trên 85</w:t>
      </w:r>
      <w:r w:rsidR="00241B99" w:rsidRPr="00203F72">
        <w:rPr>
          <w:sz w:val="28"/>
          <w:szCs w:val="28"/>
        </w:rPr>
        <w:t>% và đảm bảo không vượt kế hoạch vốn trung hạn đã được cấp thẩm quyền phê duyệt</w:t>
      </w:r>
      <w:r w:rsidR="00D668EE" w:rsidRPr="00203F72">
        <w:rPr>
          <w:sz w:val="28"/>
          <w:szCs w:val="28"/>
        </w:rPr>
        <w:t>.</w:t>
      </w:r>
    </w:p>
    <w:p w14:paraId="4054776D" w14:textId="77777777" w:rsidR="00241B99" w:rsidRPr="00655A4E" w:rsidRDefault="0045159F" w:rsidP="00655A4E">
      <w:pPr>
        <w:pStyle w:val="BodyText"/>
        <w:spacing w:before="60" w:after="60" w:line="276" w:lineRule="auto"/>
        <w:ind w:firstLine="706"/>
        <w:jc w:val="both"/>
        <w:rPr>
          <w:spacing w:val="-4"/>
          <w:sz w:val="28"/>
          <w:szCs w:val="28"/>
        </w:rPr>
      </w:pPr>
      <w:r w:rsidRPr="00655A4E">
        <w:rPr>
          <w:spacing w:val="-4"/>
          <w:sz w:val="28"/>
          <w:szCs w:val="28"/>
        </w:rPr>
        <w:t>b)</w:t>
      </w:r>
      <w:r w:rsidR="00241B99" w:rsidRPr="00655A4E">
        <w:rPr>
          <w:spacing w:val="-4"/>
          <w:sz w:val="28"/>
          <w:szCs w:val="28"/>
        </w:rPr>
        <w:t xml:space="preserve"> Điều chỉnh giảm kế hoạch vốn của các dự án dự kiến giải ngân</w:t>
      </w:r>
      <w:r w:rsidR="00CD073E" w:rsidRPr="00655A4E">
        <w:rPr>
          <w:spacing w:val="-4"/>
          <w:sz w:val="28"/>
          <w:szCs w:val="28"/>
        </w:rPr>
        <w:t xml:space="preserve"> không</w:t>
      </w:r>
      <w:r w:rsidR="00241B99" w:rsidRPr="00655A4E">
        <w:rPr>
          <w:spacing w:val="-4"/>
          <w:sz w:val="28"/>
          <w:szCs w:val="28"/>
        </w:rPr>
        <w:t xml:space="preserve"> hết kế hoạch vốn đã bố trí, để điều chuyển sang các dự án có nhu cầu bổ sung vốn. </w:t>
      </w:r>
    </w:p>
    <w:p w14:paraId="0376560F" w14:textId="77777777" w:rsidR="00241B99" w:rsidRPr="00F46072" w:rsidRDefault="0045159F" w:rsidP="00655A4E">
      <w:pPr>
        <w:pStyle w:val="BodyText"/>
        <w:spacing w:before="60" w:after="60" w:line="276" w:lineRule="auto"/>
        <w:ind w:firstLine="706"/>
        <w:jc w:val="both"/>
        <w:rPr>
          <w:sz w:val="28"/>
          <w:szCs w:val="28"/>
        </w:rPr>
      </w:pPr>
      <w:r w:rsidRPr="00203F72">
        <w:rPr>
          <w:sz w:val="28"/>
          <w:szCs w:val="28"/>
        </w:rPr>
        <w:t>c)</w:t>
      </w:r>
      <w:r w:rsidR="00241B99" w:rsidRPr="00203F72">
        <w:rPr>
          <w:sz w:val="28"/>
          <w:szCs w:val="28"/>
        </w:rPr>
        <w:t xml:space="preserve"> Đối với </w:t>
      </w:r>
      <w:r w:rsidR="00241B99" w:rsidRPr="00F46072">
        <w:rPr>
          <w:sz w:val="28"/>
          <w:szCs w:val="28"/>
        </w:rPr>
        <w:t>các dự án điều chỉnh bổ sung vào Nghị quyết HĐND Tỉnh:</w:t>
      </w:r>
    </w:p>
    <w:p w14:paraId="6DD03F89" w14:textId="77777777" w:rsidR="00241B99" w:rsidRPr="00F46072" w:rsidRDefault="00241B99" w:rsidP="00655A4E">
      <w:pPr>
        <w:pStyle w:val="BodyText"/>
        <w:spacing w:before="60" w:after="60" w:line="276" w:lineRule="auto"/>
        <w:ind w:firstLine="706"/>
        <w:jc w:val="both"/>
        <w:rPr>
          <w:sz w:val="28"/>
          <w:szCs w:val="28"/>
        </w:rPr>
      </w:pPr>
      <w:r w:rsidRPr="00F46072">
        <w:rPr>
          <w:sz w:val="28"/>
          <w:szCs w:val="28"/>
        </w:rPr>
        <w:t xml:space="preserve"> Ưu tiên bố trí vốn thu hồi ứng trước.</w:t>
      </w:r>
    </w:p>
    <w:p w14:paraId="69224C8C" w14:textId="77777777" w:rsidR="00241B99" w:rsidRPr="00F46072" w:rsidRDefault="00241B99" w:rsidP="00655A4E">
      <w:pPr>
        <w:pStyle w:val="BodyText"/>
        <w:spacing w:before="60" w:after="60" w:line="276" w:lineRule="auto"/>
        <w:ind w:firstLine="706"/>
        <w:jc w:val="both"/>
        <w:rPr>
          <w:sz w:val="28"/>
          <w:szCs w:val="28"/>
        </w:rPr>
      </w:pPr>
      <w:r w:rsidRPr="00F46072">
        <w:rPr>
          <w:sz w:val="28"/>
          <w:szCs w:val="28"/>
        </w:rPr>
        <w:t xml:space="preserve"> Bố trí các dự án </w:t>
      </w:r>
      <w:r>
        <w:rPr>
          <w:sz w:val="28"/>
          <w:szCs w:val="28"/>
        </w:rPr>
        <w:t>khẩn cấp, bức xúc</w:t>
      </w:r>
      <w:r w:rsidRPr="00F46072">
        <w:rPr>
          <w:sz w:val="28"/>
          <w:szCs w:val="28"/>
        </w:rPr>
        <w:t>, cần thiết khác</w:t>
      </w:r>
      <w:r>
        <w:rPr>
          <w:sz w:val="28"/>
          <w:szCs w:val="28"/>
        </w:rPr>
        <w:t>.</w:t>
      </w:r>
      <w:r w:rsidRPr="00F46072">
        <w:rPr>
          <w:sz w:val="28"/>
          <w:szCs w:val="28"/>
        </w:rPr>
        <w:t xml:space="preserve"> </w:t>
      </w:r>
    </w:p>
    <w:p w14:paraId="63DF98B5" w14:textId="77777777" w:rsidR="00D331FF" w:rsidRPr="00E45ADA" w:rsidRDefault="00D331FF" w:rsidP="00655A4E">
      <w:pPr>
        <w:pStyle w:val="BodyText"/>
        <w:spacing w:before="60" w:after="60" w:line="276" w:lineRule="auto"/>
        <w:ind w:firstLine="709"/>
        <w:jc w:val="both"/>
        <w:rPr>
          <w:b/>
          <w:sz w:val="28"/>
          <w:szCs w:val="28"/>
        </w:rPr>
      </w:pPr>
      <w:r>
        <w:rPr>
          <w:b/>
          <w:sz w:val="28"/>
          <w:szCs w:val="28"/>
        </w:rPr>
        <w:t>2</w:t>
      </w:r>
      <w:r w:rsidRPr="00E45ADA">
        <w:rPr>
          <w:b/>
          <w:sz w:val="28"/>
          <w:szCs w:val="28"/>
        </w:rPr>
        <w:t xml:space="preserve">. </w:t>
      </w:r>
      <w:r w:rsidRPr="00F274ED">
        <w:rPr>
          <w:b/>
          <w:szCs w:val="28"/>
        </w:rPr>
        <w:t xml:space="preserve">Phương án </w:t>
      </w:r>
      <w:r>
        <w:rPr>
          <w:b/>
          <w:szCs w:val="28"/>
        </w:rPr>
        <w:t>đ</w:t>
      </w:r>
      <w:r w:rsidRPr="00E45ADA">
        <w:rPr>
          <w:b/>
          <w:sz w:val="28"/>
          <w:szCs w:val="28"/>
        </w:rPr>
        <w:t xml:space="preserve">iều </w:t>
      </w:r>
      <w:r>
        <w:rPr>
          <w:b/>
          <w:sz w:val="28"/>
          <w:szCs w:val="28"/>
        </w:rPr>
        <w:t>chỉnh kế hoạch</w:t>
      </w:r>
      <w:r w:rsidR="00930E19">
        <w:rPr>
          <w:b/>
          <w:sz w:val="28"/>
          <w:szCs w:val="28"/>
        </w:rPr>
        <w:t>.</w:t>
      </w:r>
      <w:r>
        <w:rPr>
          <w:b/>
          <w:sz w:val="28"/>
          <w:szCs w:val="28"/>
        </w:rPr>
        <w:t xml:space="preserve"> </w:t>
      </w:r>
    </w:p>
    <w:p w14:paraId="13F24FA4" w14:textId="77777777" w:rsidR="00124271" w:rsidRPr="00316FC6" w:rsidRDefault="0045159F" w:rsidP="00655A4E">
      <w:pPr>
        <w:pStyle w:val="MyStyleJ"/>
        <w:spacing w:before="60" w:after="60"/>
        <w:ind w:firstLine="720"/>
        <w:rPr>
          <w:b/>
          <w:sz w:val="28"/>
          <w:szCs w:val="28"/>
        </w:rPr>
      </w:pPr>
      <w:r>
        <w:rPr>
          <w:b/>
          <w:bCs/>
          <w:sz w:val="28"/>
          <w:szCs w:val="28"/>
        </w:rPr>
        <w:lastRenderedPageBreak/>
        <w:t>a)</w:t>
      </w:r>
      <w:r w:rsidR="00930E19" w:rsidRPr="005341B6">
        <w:rPr>
          <w:b/>
          <w:bCs/>
          <w:sz w:val="28"/>
          <w:szCs w:val="28"/>
        </w:rPr>
        <w:t xml:space="preserve"> Vốn ngân sách tập trung</w:t>
      </w:r>
      <w:r>
        <w:rPr>
          <w:b/>
          <w:bCs/>
          <w:sz w:val="28"/>
          <w:szCs w:val="28"/>
        </w:rPr>
        <w:t xml:space="preserve"> do c</w:t>
      </w:r>
      <w:r w:rsidR="00124271" w:rsidRPr="00316FC6">
        <w:rPr>
          <w:b/>
          <w:sz w:val="28"/>
          <w:szCs w:val="28"/>
        </w:rPr>
        <w:t>ấp Tỉnh quản lý và phân bổ.</w:t>
      </w:r>
    </w:p>
    <w:p w14:paraId="51E61208" w14:textId="77777777" w:rsidR="00124271" w:rsidRPr="00316FC6" w:rsidRDefault="00124271" w:rsidP="00655A4E">
      <w:pPr>
        <w:pStyle w:val="MyStyleJ"/>
        <w:spacing w:before="60" w:after="60"/>
        <w:ind w:firstLine="720"/>
        <w:rPr>
          <w:sz w:val="28"/>
          <w:szCs w:val="28"/>
        </w:rPr>
      </w:pPr>
      <w:r w:rsidRPr="00316FC6">
        <w:rPr>
          <w:sz w:val="28"/>
          <w:szCs w:val="28"/>
        </w:rPr>
        <w:t>Tổng vốn: 626,239 tỷ đồng.</w:t>
      </w:r>
    </w:p>
    <w:p w14:paraId="024E9361" w14:textId="77777777" w:rsidR="00124271" w:rsidRPr="00316FC6" w:rsidRDefault="00A47337" w:rsidP="00655A4E">
      <w:pPr>
        <w:pStyle w:val="BodyTextIndent"/>
        <w:spacing w:before="60" w:after="60" w:line="276" w:lineRule="auto"/>
        <w:ind w:firstLine="720"/>
        <w:rPr>
          <w:szCs w:val="28"/>
        </w:rPr>
      </w:pPr>
      <w:r>
        <w:rPr>
          <w:szCs w:val="28"/>
        </w:rPr>
        <w:t>Đ</w:t>
      </w:r>
      <w:r w:rsidR="00124271" w:rsidRPr="00316FC6">
        <w:rPr>
          <w:szCs w:val="28"/>
        </w:rPr>
        <w:t xml:space="preserve">iều chỉnh: 626,239 tỷ đồng </w:t>
      </w:r>
      <w:r w:rsidR="00124271" w:rsidRPr="00316FC6">
        <w:rPr>
          <w:i/>
          <w:iCs/>
          <w:szCs w:val="28"/>
        </w:rPr>
        <w:t>(Biểu số 1 – gửi kèm theo)</w:t>
      </w:r>
      <w:r w:rsidR="00124271" w:rsidRPr="00316FC6">
        <w:rPr>
          <w:szCs w:val="28"/>
        </w:rPr>
        <w:t>; cụ thể</w:t>
      </w:r>
      <w:r w:rsidR="0045159F">
        <w:rPr>
          <w:szCs w:val="28"/>
        </w:rPr>
        <w:t xml:space="preserve"> như sau</w:t>
      </w:r>
      <w:r w:rsidR="00124271" w:rsidRPr="00316FC6">
        <w:rPr>
          <w:szCs w:val="28"/>
        </w:rPr>
        <w:t>:</w:t>
      </w:r>
    </w:p>
    <w:p w14:paraId="1B7894E1" w14:textId="77777777" w:rsidR="00124271" w:rsidRPr="00316FC6" w:rsidRDefault="00124271" w:rsidP="00655A4E">
      <w:pPr>
        <w:pStyle w:val="MyStyleJ"/>
        <w:spacing w:before="60" w:after="60"/>
        <w:ind w:firstLine="720"/>
        <w:rPr>
          <w:sz w:val="28"/>
          <w:szCs w:val="28"/>
        </w:rPr>
      </w:pPr>
      <w:r w:rsidRPr="00316FC6">
        <w:rPr>
          <w:sz w:val="28"/>
          <w:szCs w:val="28"/>
        </w:rPr>
        <w:t xml:space="preserve">Vốn chuẩn bị đầu tư: </w:t>
      </w:r>
      <w:r>
        <w:rPr>
          <w:sz w:val="28"/>
          <w:szCs w:val="28"/>
        </w:rPr>
        <w:t>10</w:t>
      </w:r>
      <w:r w:rsidRPr="00316FC6">
        <w:rPr>
          <w:sz w:val="28"/>
          <w:szCs w:val="28"/>
        </w:rPr>
        <w:t xml:space="preserve"> tỷ đồng giảm xuống còn </w:t>
      </w:r>
      <w:r>
        <w:rPr>
          <w:sz w:val="28"/>
          <w:szCs w:val="28"/>
        </w:rPr>
        <w:t>1.130</w:t>
      </w:r>
      <w:r w:rsidRPr="00316FC6">
        <w:rPr>
          <w:sz w:val="28"/>
          <w:szCs w:val="28"/>
        </w:rPr>
        <w:t xml:space="preserve"> triệu  đồng (</w:t>
      </w:r>
      <w:r>
        <w:rPr>
          <w:sz w:val="28"/>
          <w:szCs w:val="28"/>
        </w:rPr>
        <w:t>gồm:</w:t>
      </w:r>
      <w:r w:rsidRPr="00316FC6">
        <w:rPr>
          <w:sz w:val="28"/>
          <w:szCs w:val="28"/>
        </w:rPr>
        <w:t xml:space="preserve"> dự án Hạ tầng Khu công nghiệp Ba Sao</w:t>
      </w:r>
      <w:r>
        <w:rPr>
          <w:sz w:val="28"/>
          <w:szCs w:val="28"/>
        </w:rPr>
        <w:t xml:space="preserve"> 490 triệu đồng và </w:t>
      </w:r>
      <w:r w:rsidRPr="00C23676">
        <w:rPr>
          <w:sz w:val="28"/>
          <w:szCs w:val="28"/>
        </w:rPr>
        <w:t>Xây dựng nhiệm vụ lập Quy hoạch tỉnh Đồng Tháp thời kỳ 2021-2030, tầm nhìn đến năm 2050</w:t>
      </w:r>
      <w:r>
        <w:rPr>
          <w:sz w:val="28"/>
          <w:szCs w:val="28"/>
        </w:rPr>
        <w:t xml:space="preserve"> là 640 triệu đồng</w:t>
      </w:r>
      <w:r w:rsidRPr="00316FC6">
        <w:rPr>
          <w:sz w:val="28"/>
          <w:szCs w:val="28"/>
        </w:rPr>
        <w:t>); số vốn giảm 8,</w:t>
      </w:r>
      <w:r>
        <w:rPr>
          <w:sz w:val="28"/>
          <w:szCs w:val="28"/>
        </w:rPr>
        <w:t>870</w:t>
      </w:r>
      <w:r w:rsidRPr="00316FC6">
        <w:rPr>
          <w:sz w:val="28"/>
          <w:szCs w:val="28"/>
        </w:rPr>
        <w:t xml:space="preserve"> tỷ đồng chuyển qua vốn thực hiện dự án đẩy nhanh tiến độ.</w:t>
      </w:r>
    </w:p>
    <w:p w14:paraId="7BF44EC2" w14:textId="77777777" w:rsidR="00124271" w:rsidRPr="00316FC6" w:rsidRDefault="00124271" w:rsidP="00655A4E">
      <w:pPr>
        <w:pStyle w:val="BodyTextIndent"/>
        <w:spacing w:before="60" w:after="60" w:line="276" w:lineRule="auto"/>
        <w:ind w:firstLine="706"/>
        <w:rPr>
          <w:szCs w:val="28"/>
        </w:rPr>
      </w:pPr>
      <w:r>
        <w:rPr>
          <w:szCs w:val="28"/>
        </w:rPr>
        <w:t>Giảm kế hoạch vốn của 13</w:t>
      </w:r>
      <w:r w:rsidRPr="00316FC6">
        <w:rPr>
          <w:szCs w:val="28"/>
        </w:rPr>
        <w:t xml:space="preserve"> dự án</w:t>
      </w:r>
      <w:r>
        <w:rPr>
          <w:szCs w:val="28"/>
        </w:rPr>
        <w:t xml:space="preserve"> và chi phí </w:t>
      </w:r>
      <w:r w:rsidRPr="006B4870">
        <w:rPr>
          <w:szCs w:val="28"/>
        </w:rPr>
        <w:t>tất toán công trình hoàn thành</w:t>
      </w:r>
      <w:r w:rsidRPr="00316FC6">
        <w:rPr>
          <w:szCs w:val="28"/>
        </w:rPr>
        <w:t xml:space="preserve">, với giá trị từ </w:t>
      </w:r>
      <w:r>
        <w:rPr>
          <w:szCs w:val="28"/>
        </w:rPr>
        <w:t>268,192</w:t>
      </w:r>
      <w:r w:rsidRPr="00316FC6">
        <w:rPr>
          <w:szCs w:val="28"/>
        </w:rPr>
        <w:t xml:space="preserve"> tỷ đồng giảm còn </w:t>
      </w:r>
      <w:r>
        <w:rPr>
          <w:szCs w:val="28"/>
        </w:rPr>
        <w:t>77,380</w:t>
      </w:r>
      <w:r w:rsidRPr="00316FC6">
        <w:rPr>
          <w:szCs w:val="28"/>
        </w:rPr>
        <w:t xml:space="preserve"> tỷ đồng, tương đương giảm </w:t>
      </w:r>
      <w:r>
        <w:rPr>
          <w:szCs w:val="28"/>
        </w:rPr>
        <w:t>190,812</w:t>
      </w:r>
      <w:r w:rsidRPr="00316FC6">
        <w:rPr>
          <w:szCs w:val="28"/>
        </w:rPr>
        <w:t xml:space="preserve"> tỷ đồng</w:t>
      </w:r>
      <w:r>
        <w:rPr>
          <w:szCs w:val="28"/>
        </w:rPr>
        <w:t>.</w:t>
      </w:r>
      <w:r w:rsidRPr="00316FC6">
        <w:rPr>
          <w:szCs w:val="28"/>
        </w:rPr>
        <w:t xml:space="preserve"> </w:t>
      </w:r>
    </w:p>
    <w:p w14:paraId="667E6335" w14:textId="77777777" w:rsidR="00124271" w:rsidRPr="00316FC6" w:rsidRDefault="00124271" w:rsidP="00655A4E">
      <w:pPr>
        <w:pStyle w:val="BodyTextIndent"/>
        <w:spacing w:before="60" w:after="60" w:line="276" w:lineRule="auto"/>
        <w:jc w:val="center"/>
        <w:rPr>
          <w:szCs w:val="28"/>
        </w:rPr>
      </w:pPr>
      <w:r w:rsidRPr="00316FC6">
        <w:rPr>
          <w:i/>
          <w:iCs/>
          <w:szCs w:val="28"/>
        </w:rPr>
        <w:t>(Biểu số 1.1 – gửi đính kèm)</w:t>
      </w:r>
    </w:p>
    <w:p w14:paraId="19B0D67A" w14:textId="77777777" w:rsidR="00124271" w:rsidRPr="00316FC6" w:rsidRDefault="00124271" w:rsidP="00655A4E">
      <w:pPr>
        <w:pStyle w:val="BodyTextIndent"/>
        <w:spacing w:before="60" w:after="60" w:line="276" w:lineRule="auto"/>
        <w:ind w:firstLine="709"/>
        <w:rPr>
          <w:szCs w:val="28"/>
        </w:rPr>
      </w:pPr>
      <w:r>
        <w:rPr>
          <w:szCs w:val="28"/>
        </w:rPr>
        <w:t>Tăng kế hoạch vốn của 06</w:t>
      </w:r>
      <w:r w:rsidRPr="00316FC6">
        <w:rPr>
          <w:szCs w:val="28"/>
        </w:rPr>
        <w:t xml:space="preserve"> dự án, với giá trị từ </w:t>
      </w:r>
      <w:r>
        <w:rPr>
          <w:szCs w:val="28"/>
        </w:rPr>
        <w:t>69,410</w:t>
      </w:r>
      <w:r w:rsidRPr="00316FC6">
        <w:rPr>
          <w:szCs w:val="28"/>
        </w:rPr>
        <w:t xml:space="preserve"> tỷ đồng tăng lên </w:t>
      </w:r>
      <w:r>
        <w:rPr>
          <w:szCs w:val="28"/>
        </w:rPr>
        <w:t>204,092</w:t>
      </w:r>
      <w:r w:rsidRPr="00316FC6">
        <w:rPr>
          <w:szCs w:val="28"/>
        </w:rPr>
        <w:t xml:space="preserve"> tỷ đồng, tương đương tăng </w:t>
      </w:r>
      <w:r>
        <w:rPr>
          <w:szCs w:val="28"/>
        </w:rPr>
        <w:t>134,682</w:t>
      </w:r>
      <w:r w:rsidRPr="00316FC6">
        <w:rPr>
          <w:szCs w:val="28"/>
        </w:rPr>
        <w:t xml:space="preserve"> tỷ đồng</w:t>
      </w:r>
      <w:r>
        <w:rPr>
          <w:szCs w:val="28"/>
        </w:rPr>
        <w:t>.</w:t>
      </w:r>
      <w:r w:rsidRPr="00316FC6">
        <w:rPr>
          <w:szCs w:val="28"/>
        </w:rPr>
        <w:t xml:space="preserve"> </w:t>
      </w:r>
    </w:p>
    <w:p w14:paraId="3020C137" w14:textId="77777777" w:rsidR="00124271" w:rsidRPr="00316FC6" w:rsidRDefault="00124271" w:rsidP="00655A4E">
      <w:pPr>
        <w:pStyle w:val="BodyTextIndent"/>
        <w:spacing w:before="60" w:after="60" w:line="276" w:lineRule="auto"/>
        <w:jc w:val="center"/>
        <w:rPr>
          <w:szCs w:val="28"/>
        </w:rPr>
      </w:pPr>
      <w:r w:rsidRPr="00316FC6">
        <w:rPr>
          <w:i/>
          <w:iCs/>
          <w:szCs w:val="28"/>
        </w:rPr>
        <w:t>(Biểu số 1.2 – gửi đính kèm)</w:t>
      </w:r>
    </w:p>
    <w:p w14:paraId="73A12BFA" w14:textId="77777777" w:rsidR="00124271" w:rsidRPr="00316FC6" w:rsidRDefault="00124271" w:rsidP="00655A4E">
      <w:pPr>
        <w:pStyle w:val="BodyTextIndent"/>
        <w:spacing w:before="60" w:after="60" w:line="276" w:lineRule="auto"/>
        <w:ind w:firstLine="706"/>
        <w:rPr>
          <w:szCs w:val="28"/>
        </w:rPr>
      </w:pPr>
      <w:r w:rsidRPr="00316FC6">
        <w:rPr>
          <w:szCs w:val="28"/>
        </w:rPr>
        <w:t>Bổ sung 0</w:t>
      </w:r>
      <w:r>
        <w:rPr>
          <w:szCs w:val="28"/>
        </w:rPr>
        <w:t>8 danh mục dự án với giá trị 65</w:t>
      </w:r>
      <w:r w:rsidRPr="00316FC6">
        <w:rPr>
          <w:szCs w:val="28"/>
        </w:rPr>
        <w:t xml:space="preserve"> tỷ đồng, vào điều chỉnh kế hoạch vốn năm 2020.</w:t>
      </w:r>
    </w:p>
    <w:p w14:paraId="0920FD3A" w14:textId="77777777" w:rsidR="00124271" w:rsidRPr="00316FC6" w:rsidRDefault="00124271" w:rsidP="00655A4E">
      <w:pPr>
        <w:pStyle w:val="BodyTextIndent"/>
        <w:spacing w:before="60" w:after="60" w:line="276" w:lineRule="auto"/>
        <w:jc w:val="center"/>
        <w:rPr>
          <w:szCs w:val="28"/>
        </w:rPr>
      </w:pPr>
      <w:r w:rsidRPr="00316FC6">
        <w:rPr>
          <w:i/>
          <w:iCs/>
          <w:szCs w:val="28"/>
        </w:rPr>
        <w:t>(Biểu số 1.3 – gửi đính kèm)</w:t>
      </w:r>
    </w:p>
    <w:p w14:paraId="519F40A8" w14:textId="77777777" w:rsidR="00124271" w:rsidRPr="00316FC6" w:rsidRDefault="00124271" w:rsidP="00655A4E">
      <w:pPr>
        <w:pStyle w:val="MyStyle3"/>
        <w:spacing w:before="60" w:after="60" w:line="276" w:lineRule="auto"/>
        <w:ind w:firstLine="720"/>
        <w:jc w:val="both"/>
        <w:rPr>
          <w:b w:val="0"/>
          <w:bCs/>
          <w:i w:val="0"/>
          <w:iCs/>
          <w:sz w:val="28"/>
          <w:szCs w:val="28"/>
        </w:rPr>
      </w:pPr>
      <w:r w:rsidRPr="00316FC6">
        <w:rPr>
          <w:b w:val="0"/>
          <w:bCs/>
          <w:i w:val="0"/>
          <w:iCs/>
          <w:sz w:val="28"/>
          <w:szCs w:val="28"/>
        </w:rPr>
        <w:t>Giữ nguyên kế hoạch vốn của 3</w:t>
      </w:r>
      <w:r>
        <w:rPr>
          <w:b w:val="0"/>
          <w:bCs/>
          <w:i w:val="0"/>
          <w:iCs/>
          <w:sz w:val="28"/>
          <w:szCs w:val="28"/>
        </w:rPr>
        <w:t>5</w:t>
      </w:r>
      <w:r w:rsidRPr="00316FC6">
        <w:rPr>
          <w:b w:val="0"/>
          <w:bCs/>
          <w:i w:val="0"/>
          <w:iCs/>
          <w:sz w:val="28"/>
          <w:szCs w:val="28"/>
        </w:rPr>
        <w:t xml:space="preserve"> dự án, với giá trị </w:t>
      </w:r>
      <w:r>
        <w:rPr>
          <w:b w:val="0"/>
          <w:bCs/>
          <w:i w:val="0"/>
          <w:iCs/>
          <w:sz w:val="28"/>
          <w:szCs w:val="28"/>
        </w:rPr>
        <w:t>278,637</w:t>
      </w:r>
      <w:r w:rsidRPr="00316FC6">
        <w:rPr>
          <w:b w:val="0"/>
          <w:bCs/>
          <w:i w:val="0"/>
          <w:iCs/>
          <w:sz w:val="28"/>
          <w:szCs w:val="28"/>
        </w:rPr>
        <w:t xml:space="preserve"> tỷ đồng</w:t>
      </w:r>
    </w:p>
    <w:p w14:paraId="65805BC6" w14:textId="77777777" w:rsidR="00124271" w:rsidRPr="00316FC6" w:rsidRDefault="00124271" w:rsidP="00655A4E">
      <w:pPr>
        <w:pStyle w:val="BodyTextIndent"/>
        <w:spacing w:before="60" w:after="60" w:line="276" w:lineRule="auto"/>
        <w:jc w:val="center"/>
        <w:rPr>
          <w:szCs w:val="28"/>
        </w:rPr>
      </w:pPr>
      <w:r w:rsidRPr="00316FC6">
        <w:rPr>
          <w:i/>
          <w:iCs/>
          <w:szCs w:val="28"/>
        </w:rPr>
        <w:t>(Biểu số 1.4 – gửi đính kèm)</w:t>
      </w:r>
    </w:p>
    <w:p w14:paraId="084DA69B" w14:textId="77777777" w:rsidR="00124271" w:rsidRPr="00203F72" w:rsidRDefault="0045159F" w:rsidP="00655A4E">
      <w:pPr>
        <w:pStyle w:val="MyStyleJ"/>
        <w:spacing w:before="60" w:after="60"/>
        <w:ind w:firstLine="720"/>
        <w:rPr>
          <w:sz w:val="28"/>
          <w:szCs w:val="28"/>
        </w:rPr>
      </w:pPr>
      <w:r w:rsidRPr="00203F72">
        <w:rPr>
          <w:b/>
          <w:bCs/>
          <w:sz w:val="28"/>
          <w:szCs w:val="28"/>
        </w:rPr>
        <w:t>b)</w:t>
      </w:r>
      <w:r w:rsidR="00124271" w:rsidRPr="00203F72">
        <w:rPr>
          <w:b/>
          <w:bCs/>
          <w:sz w:val="28"/>
          <w:szCs w:val="28"/>
        </w:rPr>
        <w:t xml:space="preserve"> </w:t>
      </w:r>
      <w:r w:rsidRPr="00203F72">
        <w:rPr>
          <w:b/>
          <w:bCs/>
          <w:sz w:val="28"/>
          <w:szCs w:val="28"/>
        </w:rPr>
        <w:t>Vốn ngân sách tập trung do c</w:t>
      </w:r>
      <w:r w:rsidR="00124271" w:rsidRPr="00203F72">
        <w:rPr>
          <w:b/>
          <w:bCs/>
          <w:sz w:val="28"/>
          <w:szCs w:val="28"/>
        </w:rPr>
        <w:t xml:space="preserve">ấp huyện quản lý: </w:t>
      </w:r>
      <w:r w:rsidR="00124271" w:rsidRPr="00203F72">
        <w:rPr>
          <w:bCs/>
          <w:sz w:val="28"/>
          <w:szCs w:val="28"/>
        </w:rPr>
        <w:t xml:space="preserve">505, 246 tỷ đồng giữ nguyên theo </w:t>
      </w:r>
      <w:r w:rsidR="00124271" w:rsidRPr="00203F72">
        <w:rPr>
          <w:sz w:val="28"/>
          <w:szCs w:val="28"/>
        </w:rPr>
        <w:t>Nghị quyết số 290/NQ-HĐND.</w:t>
      </w:r>
    </w:p>
    <w:p w14:paraId="25FD3C76" w14:textId="77777777" w:rsidR="00124271" w:rsidRPr="00203F72" w:rsidRDefault="0045159F" w:rsidP="00655A4E">
      <w:pPr>
        <w:pStyle w:val="MyStyleJ"/>
        <w:spacing w:before="60" w:after="60"/>
        <w:ind w:firstLine="720"/>
        <w:rPr>
          <w:b/>
          <w:bCs/>
          <w:sz w:val="28"/>
          <w:szCs w:val="28"/>
        </w:rPr>
      </w:pPr>
      <w:r w:rsidRPr="00203F72">
        <w:rPr>
          <w:b/>
          <w:bCs/>
          <w:sz w:val="28"/>
          <w:szCs w:val="28"/>
        </w:rPr>
        <w:t>c)</w:t>
      </w:r>
      <w:r w:rsidR="00124271" w:rsidRPr="00203F72">
        <w:rPr>
          <w:b/>
          <w:bCs/>
          <w:sz w:val="28"/>
          <w:szCs w:val="28"/>
        </w:rPr>
        <w:t xml:space="preserve"> Vốn Xổ số kiến thiết:   </w:t>
      </w:r>
    </w:p>
    <w:p w14:paraId="7F053E86" w14:textId="77777777" w:rsidR="00124271" w:rsidRPr="00316FC6" w:rsidRDefault="00124271" w:rsidP="00655A4E">
      <w:pPr>
        <w:pStyle w:val="MyStyleJ"/>
        <w:spacing w:before="60" w:after="60"/>
        <w:ind w:firstLine="720"/>
        <w:rPr>
          <w:sz w:val="28"/>
          <w:szCs w:val="28"/>
        </w:rPr>
      </w:pPr>
      <w:r w:rsidRPr="00316FC6">
        <w:rPr>
          <w:sz w:val="28"/>
          <w:szCs w:val="28"/>
        </w:rPr>
        <w:t>Tổng vốn: 1.530 tỷ đồng.</w:t>
      </w:r>
    </w:p>
    <w:p w14:paraId="073C9BB6" w14:textId="77777777" w:rsidR="00124271" w:rsidRPr="00203F72" w:rsidRDefault="00A47337" w:rsidP="00655A4E">
      <w:pPr>
        <w:pStyle w:val="MyStyleJ"/>
        <w:spacing w:before="60" w:after="60"/>
        <w:ind w:firstLine="720"/>
        <w:rPr>
          <w:sz w:val="28"/>
          <w:szCs w:val="28"/>
        </w:rPr>
      </w:pPr>
      <w:r w:rsidRPr="00203F72">
        <w:rPr>
          <w:sz w:val="28"/>
          <w:szCs w:val="28"/>
        </w:rPr>
        <w:t>Đ</w:t>
      </w:r>
      <w:r w:rsidR="00124271" w:rsidRPr="00203F72">
        <w:rPr>
          <w:sz w:val="28"/>
          <w:szCs w:val="28"/>
        </w:rPr>
        <w:t xml:space="preserve">iều chỉnh 1.530 tỷ đồng </w:t>
      </w:r>
      <w:r w:rsidR="00124271" w:rsidRPr="00203F72">
        <w:rPr>
          <w:i/>
          <w:sz w:val="28"/>
          <w:szCs w:val="28"/>
        </w:rPr>
        <w:t>(biểu số 2 – gửi kèm theo)</w:t>
      </w:r>
      <w:r w:rsidR="00124271" w:rsidRPr="00203F72">
        <w:rPr>
          <w:sz w:val="28"/>
          <w:szCs w:val="28"/>
        </w:rPr>
        <w:t xml:space="preserve">, </w:t>
      </w:r>
      <w:r w:rsidR="0045159F" w:rsidRPr="00203F72">
        <w:rPr>
          <w:sz w:val="28"/>
          <w:szCs w:val="28"/>
        </w:rPr>
        <w:t xml:space="preserve">cụ thể </w:t>
      </w:r>
      <w:r w:rsidR="00124271" w:rsidRPr="00203F72">
        <w:rPr>
          <w:sz w:val="28"/>
          <w:szCs w:val="28"/>
        </w:rPr>
        <w:t xml:space="preserve">như sau: </w:t>
      </w:r>
    </w:p>
    <w:p w14:paraId="3B2E4080" w14:textId="77777777" w:rsidR="00124271" w:rsidRPr="00203F72" w:rsidRDefault="00124271" w:rsidP="00655A4E">
      <w:pPr>
        <w:pStyle w:val="MyStyleJ"/>
        <w:spacing w:before="60" w:after="60"/>
        <w:ind w:firstLine="720"/>
        <w:rPr>
          <w:sz w:val="28"/>
          <w:szCs w:val="28"/>
        </w:rPr>
      </w:pPr>
      <w:r w:rsidRPr="00203F72">
        <w:rPr>
          <w:sz w:val="28"/>
          <w:szCs w:val="28"/>
        </w:rPr>
        <w:t>Vốn chuẩn bị đầu tư: 9 tỷ đồng giảm còn 1,080 tỷ đồng (gồm: dự án Trường THPT thành phố Cao Lãnh 800 triệu đồng; dự án Nhà Trưng bày xứ ủy Nam bộ và Văn hóa Óc Eo 280 triệu đồng); số vốn giảm 7,920 tỷ đồng chuyển qua vốn thực hiện dự án đẩy nhanh tiến độ.</w:t>
      </w:r>
    </w:p>
    <w:p w14:paraId="786D4EDB" w14:textId="77777777" w:rsidR="00124271" w:rsidRPr="00203F72" w:rsidRDefault="00124271" w:rsidP="00655A4E">
      <w:pPr>
        <w:pStyle w:val="MyStyleJ"/>
        <w:spacing w:before="60" w:after="60"/>
        <w:ind w:firstLine="720"/>
        <w:rPr>
          <w:sz w:val="28"/>
          <w:szCs w:val="28"/>
        </w:rPr>
      </w:pPr>
      <w:r w:rsidRPr="00203F72">
        <w:rPr>
          <w:sz w:val="28"/>
          <w:szCs w:val="28"/>
        </w:rPr>
        <w:t>Giảm kế hoạch vốn của 18 dự án, với giá trị từ 522,579 tỷ đồng giảm còn 287,896 tỷ đồng, tương đương giảm 234,683 tỷ đồng.</w:t>
      </w:r>
    </w:p>
    <w:p w14:paraId="14771807" w14:textId="77777777" w:rsidR="00124271" w:rsidRPr="00203F72" w:rsidRDefault="00124271" w:rsidP="00655A4E">
      <w:pPr>
        <w:pStyle w:val="BodyTextIndent"/>
        <w:spacing w:before="60" w:after="60" w:line="276" w:lineRule="auto"/>
        <w:jc w:val="center"/>
        <w:rPr>
          <w:szCs w:val="28"/>
        </w:rPr>
      </w:pPr>
      <w:r w:rsidRPr="00203F72">
        <w:rPr>
          <w:i/>
          <w:iCs/>
          <w:szCs w:val="28"/>
        </w:rPr>
        <w:t>(Biểu số 2.1 – gửi đính kèm)</w:t>
      </w:r>
    </w:p>
    <w:p w14:paraId="37E190BF" w14:textId="77777777" w:rsidR="00124271" w:rsidRPr="00203F72" w:rsidRDefault="00124271" w:rsidP="00655A4E">
      <w:pPr>
        <w:pStyle w:val="BodyTextIndent"/>
        <w:spacing w:before="60" w:after="60" w:line="276" w:lineRule="auto"/>
        <w:ind w:firstLine="709"/>
        <w:rPr>
          <w:szCs w:val="28"/>
        </w:rPr>
      </w:pPr>
      <w:r w:rsidRPr="00203F72">
        <w:rPr>
          <w:szCs w:val="28"/>
        </w:rPr>
        <w:t xml:space="preserve">Tăng kế hoạch vốn của 20 dự án, với giá trị từ 136,119 tỷ đồng tăng lên 298,283 tỷ đồng, tương đương tăng 162,164 tỷ đồng.  </w:t>
      </w:r>
    </w:p>
    <w:p w14:paraId="637ABECF" w14:textId="77777777" w:rsidR="00124271" w:rsidRPr="00316FC6" w:rsidRDefault="00124271" w:rsidP="00655A4E">
      <w:pPr>
        <w:pStyle w:val="BodyTextIndent"/>
        <w:spacing w:before="60" w:after="60" w:line="276" w:lineRule="auto"/>
        <w:jc w:val="center"/>
        <w:rPr>
          <w:szCs w:val="28"/>
        </w:rPr>
      </w:pPr>
      <w:r w:rsidRPr="00316FC6">
        <w:rPr>
          <w:i/>
          <w:iCs/>
          <w:szCs w:val="28"/>
        </w:rPr>
        <w:t>(Biểu số 2.2 – gửi đính kèm)</w:t>
      </w:r>
    </w:p>
    <w:p w14:paraId="76F6F9B7" w14:textId="77777777" w:rsidR="00124271" w:rsidRPr="00316FC6" w:rsidRDefault="00124271" w:rsidP="00655A4E">
      <w:pPr>
        <w:pStyle w:val="BodyTextIndent"/>
        <w:spacing w:before="60" w:after="60" w:line="276" w:lineRule="auto"/>
        <w:ind w:firstLine="706"/>
        <w:rPr>
          <w:szCs w:val="28"/>
        </w:rPr>
      </w:pPr>
      <w:r w:rsidRPr="00316FC6">
        <w:rPr>
          <w:szCs w:val="28"/>
        </w:rPr>
        <w:lastRenderedPageBreak/>
        <w:t>Bổ sung 1</w:t>
      </w:r>
      <w:r>
        <w:rPr>
          <w:szCs w:val="28"/>
        </w:rPr>
        <w:t>2</w:t>
      </w:r>
      <w:r w:rsidRPr="00316FC6">
        <w:rPr>
          <w:szCs w:val="28"/>
        </w:rPr>
        <w:t xml:space="preserve"> danh mục dự án với giá trị </w:t>
      </w:r>
      <w:r>
        <w:rPr>
          <w:szCs w:val="28"/>
        </w:rPr>
        <w:t>80,439</w:t>
      </w:r>
      <w:r w:rsidRPr="00316FC6">
        <w:rPr>
          <w:szCs w:val="28"/>
        </w:rPr>
        <w:t xml:space="preserve"> tỷ đồng, vào điều chỉnh kế hoạch vốn năm 2020.</w:t>
      </w:r>
    </w:p>
    <w:p w14:paraId="7BD6DE9B" w14:textId="77777777" w:rsidR="00C009D1" w:rsidRPr="0045159F" w:rsidRDefault="00124271" w:rsidP="00655A4E">
      <w:pPr>
        <w:pStyle w:val="BodyTextIndent"/>
        <w:spacing w:before="60" w:after="60" w:line="276" w:lineRule="auto"/>
        <w:jc w:val="center"/>
        <w:rPr>
          <w:szCs w:val="28"/>
        </w:rPr>
      </w:pPr>
      <w:r w:rsidRPr="00316FC6">
        <w:rPr>
          <w:i/>
          <w:iCs/>
          <w:szCs w:val="28"/>
        </w:rPr>
        <w:t>(Biểu số 2.3 – gửi đính kèm)</w:t>
      </w:r>
    </w:p>
    <w:p w14:paraId="7D26EDB2" w14:textId="77777777" w:rsidR="00124271" w:rsidRPr="00316FC6" w:rsidRDefault="00124271" w:rsidP="00655A4E">
      <w:pPr>
        <w:pStyle w:val="MyStyle3"/>
        <w:spacing w:before="60" w:after="60" w:line="276" w:lineRule="auto"/>
        <w:ind w:firstLine="720"/>
        <w:jc w:val="both"/>
        <w:rPr>
          <w:b w:val="0"/>
          <w:bCs/>
          <w:i w:val="0"/>
          <w:iCs/>
          <w:sz w:val="28"/>
          <w:szCs w:val="28"/>
        </w:rPr>
      </w:pPr>
      <w:r w:rsidRPr="00316FC6">
        <w:rPr>
          <w:b w:val="0"/>
          <w:bCs/>
          <w:i w:val="0"/>
          <w:iCs/>
          <w:sz w:val="28"/>
          <w:szCs w:val="28"/>
        </w:rPr>
        <w:t xml:space="preserve">Giữ nguyên kế hoạch vốn của </w:t>
      </w:r>
      <w:r>
        <w:rPr>
          <w:b w:val="0"/>
          <w:bCs/>
          <w:i w:val="0"/>
          <w:iCs/>
          <w:sz w:val="28"/>
          <w:szCs w:val="28"/>
        </w:rPr>
        <w:t>79</w:t>
      </w:r>
      <w:r w:rsidRPr="00316FC6">
        <w:rPr>
          <w:b w:val="0"/>
          <w:bCs/>
          <w:i w:val="0"/>
          <w:iCs/>
          <w:sz w:val="28"/>
          <w:szCs w:val="28"/>
        </w:rPr>
        <w:t xml:space="preserve"> dự án và tất toán công trình, với giá trị </w:t>
      </w:r>
      <w:r>
        <w:rPr>
          <w:b w:val="0"/>
          <w:bCs/>
          <w:i w:val="0"/>
          <w:iCs/>
          <w:sz w:val="28"/>
          <w:szCs w:val="28"/>
        </w:rPr>
        <w:t>862,302</w:t>
      </w:r>
      <w:r w:rsidRPr="00316FC6">
        <w:rPr>
          <w:b w:val="0"/>
          <w:bCs/>
          <w:i w:val="0"/>
          <w:iCs/>
          <w:sz w:val="28"/>
          <w:szCs w:val="28"/>
        </w:rPr>
        <w:t xml:space="preserve"> tỷ đồng</w:t>
      </w:r>
    </w:p>
    <w:p w14:paraId="5979BC93" w14:textId="77777777" w:rsidR="00124271" w:rsidRPr="00203F72" w:rsidRDefault="00124271" w:rsidP="00655A4E">
      <w:pPr>
        <w:pStyle w:val="BodyTextIndent"/>
        <w:spacing w:before="60" w:after="60" w:line="276" w:lineRule="auto"/>
        <w:jc w:val="center"/>
        <w:rPr>
          <w:szCs w:val="28"/>
        </w:rPr>
      </w:pPr>
      <w:r w:rsidRPr="00203F72">
        <w:rPr>
          <w:i/>
          <w:iCs/>
          <w:szCs w:val="28"/>
        </w:rPr>
        <w:t>(Biểu số 2.4 – gửi đính kèm)</w:t>
      </w:r>
    </w:p>
    <w:p w14:paraId="2E44376F" w14:textId="77777777" w:rsidR="00124271" w:rsidRPr="00203F72" w:rsidRDefault="0045159F" w:rsidP="00655A4E">
      <w:pPr>
        <w:pStyle w:val="MyStyleJ"/>
        <w:spacing w:before="60" w:after="60"/>
        <w:ind w:firstLine="720"/>
        <w:rPr>
          <w:sz w:val="28"/>
          <w:szCs w:val="28"/>
        </w:rPr>
      </w:pPr>
      <w:r w:rsidRPr="00203F72">
        <w:rPr>
          <w:b/>
          <w:bCs/>
          <w:sz w:val="28"/>
          <w:szCs w:val="28"/>
        </w:rPr>
        <w:t>d)</w:t>
      </w:r>
      <w:r w:rsidR="00124271" w:rsidRPr="00203F72">
        <w:rPr>
          <w:b/>
          <w:bCs/>
          <w:sz w:val="28"/>
          <w:szCs w:val="28"/>
        </w:rPr>
        <w:t xml:space="preserve"> Nguồn thu sử dụng đất: </w:t>
      </w:r>
      <w:r w:rsidR="00124271" w:rsidRPr="00203F72">
        <w:rPr>
          <w:sz w:val="28"/>
          <w:szCs w:val="28"/>
        </w:rPr>
        <w:t>600 tỷ đồng</w:t>
      </w:r>
      <w:r w:rsidR="00124271" w:rsidRPr="00203F72">
        <w:rPr>
          <w:bCs/>
          <w:sz w:val="28"/>
          <w:szCs w:val="28"/>
        </w:rPr>
        <w:t xml:space="preserve"> giữ nguyên theo </w:t>
      </w:r>
      <w:r w:rsidR="00124271" w:rsidRPr="00203F72">
        <w:rPr>
          <w:sz w:val="28"/>
          <w:szCs w:val="28"/>
        </w:rPr>
        <w:t>Nghị quyết số 290/NQ-HĐND.</w:t>
      </w:r>
    </w:p>
    <w:p w14:paraId="0A0F639C" w14:textId="77777777" w:rsidR="00124271" w:rsidRPr="00203F72" w:rsidRDefault="0045159F" w:rsidP="00655A4E">
      <w:pPr>
        <w:pStyle w:val="MyStyleJ"/>
        <w:spacing w:before="60" w:after="60"/>
        <w:ind w:firstLine="720"/>
        <w:rPr>
          <w:b/>
          <w:bCs/>
          <w:sz w:val="28"/>
          <w:szCs w:val="28"/>
        </w:rPr>
      </w:pPr>
      <w:r w:rsidRPr="00203F72">
        <w:rPr>
          <w:b/>
          <w:bCs/>
          <w:sz w:val="28"/>
          <w:szCs w:val="28"/>
        </w:rPr>
        <w:t>đ)</w:t>
      </w:r>
      <w:r w:rsidR="00124271" w:rsidRPr="00203F72">
        <w:rPr>
          <w:b/>
          <w:bCs/>
          <w:sz w:val="28"/>
          <w:szCs w:val="28"/>
        </w:rPr>
        <w:t xml:space="preserve"> Vốn ngân sách Trung ương hỗ trợ</w:t>
      </w:r>
    </w:p>
    <w:p w14:paraId="0B6D19B0" w14:textId="77777777" w:rsidR="00124271" w:rsidRPr="00316FC6" w:rsidRDefault="00124271" w:rsidP="00655A4E">
      <w:pPr>
        <w:pStyle w:val="MyStyleJ"/>
        <w:spacing w:before="60" w:after="60"/>
        <w:ind w:firstLine="720"/>
        <w:rPr>
          <w:sz w:val="28"/>
          <w:szCs w:val="28"/>
        </w:rPr>
      </w:pPr>
      <w:r w:rsidRPr="00316FC6">
        <w:rPr>
          <w:sz w:val="28"/>
          <w:szCs w:val="28"/>
        </w:rPr>
        <w:t xml:space="preserve">Tổng vốn: </w:t>
      </w:r>
      <w:r>
        <w:rPr>
          <w:sz w:val="28"/>
          <w:szCs w:val="28"/>
        </w:rPr>
        <w:t>976,720</w:t>
      </w:r>
      <w:r w:rsidRPr="00316FC6">
        <w:rPr>
          <w:sz w:val="28"/>
          <w:szCs w:val="28"/>
        </w:rPr>
        <w:t xml:space="preserve"> tỷ đồng (kể cả 137 tỷ đồng vốn dự phòng</w:t>
      </w:r>
      <w:r w:rsidR="00A2741A">
        <w:rPr>
          <w:sz w:val="28"/>
          <w:szCs w:val="28"/>
        </w:rPr>
        <w:t xml:space="preserve"> ngân sách trung ương năm 2019):</w:t>
      </w:r>
    </w:p>
    <w:p w14:paraId="737F2962" w14:textId="77777777" w:rsidR="00124271" w:rsidRPr="00203F72" w:rsidRDefault="00A47337" w:rsidP="00655A4E">
      <w:pPr>
        <w:pStyle w:val="MyStyleJ"/>
        <w:spacing w:before="60" w:after="60"/>
        <w:ind w:firstLine="720"/>
        <w:rPr>
          <w:sz w:val="28"/>
          <w:szCs w:val="28"/>
        </w:rPr>
      </w:pPr>
      <w:r w:rsidRPr="00203F72">
        <w:rPr>
          <w:sz w:val="28"/>
          <w:szCs w:val="28"/>
        </w:rPr>
        <w:t>Đ</w:t>
      </w:r>
      <w:r w:rsidR="00124271" w:rsidRPr="00203F72">
        <w:rPr>
          <w:sz w:val="28"/>
          <w:szCs w:val="28"/>
        </w:rPr>
        <w:t xml:space="preserve">iều chỉnh: 976,720 tỷ đồng </w:t>
      </w:r>
      <w:r w:rsidR="00124271" w:rsidRPr="00203F72">
        <w:rPr>
          <w:i/>
          <w:sz w:val="28"/>
          <w:szCs w:val="28"/>
        </w:rPr>
        <w:t>(biểu số 3 – gửi kèm theo)</w:t>
      </w:r>
      <w:r w:rsidR="00124271" w:rsidRPr="00203F72">
        <w:rPr>
          <w:sz w:val="28"/>
          <w:szCs w:val="28"/>
        </w:rPr>
        <w:t xml:space="preserve">; cụ thể như sau: </w:t>
      </w:r>
    </w:p>
    <w:p w14:paraId="70639A7F" w14:textId="77777777" w:rsidR="00124271" w:rsidRPr="00203F72" w:rsidRDefault="00124271" w:rsidP="00655A4E">
      <w:pPr>
        <w:pStyle w:val="MyStyleJ"/>
        <w:spacing w:before="60" w:after="60"/>
        <w:ind w:firstLine="720"/>
        <w:rPr>
          <w:sz w:val="28"/>
          <w:szCs w:val="28"/>
        </w:rPr>
      </w:pPr>
      <w:r w:rsidRPr="00203F72">
        <w:rPr>
          <w:sz w:val="28"/>
          <w:szCs w:val="28"/>
        </w:rPr>
        <w:t>Giảm kế hoạch vốn của 4 dự án, với giá trị từ 18,039 tỷ đồng giảm còn 3 triệu đồng, tương đương giảm 18,036 tỷ đồng</w:t>
      </w:r>
      <w:r w:rsidR="00AE0B40" w:rsidRPr="00203F72">
        <w:rPr>
          <w:sz w:val="28"/>
          <w:szCs w:val="28"/>
        </w:rPr>
        <w:t xml:space="preserve"> </w:t>
      </w:r>
      <w:r w:rsidR="00AE0B40" w:rsidRPr="00203F72">
        <w:rPr>
          <w:i/>
          <w:sz w:val="28"/>
          <w:szCs w:val="28"/>
        </w:rPr>
        <w:t>(vốn thu hồi ứng trước)</w:t>
      </w:r>
      <w:r w:rsidR="00AE0B40" w:rsidRPr="00203F72">
        <w:rPr>
          <w:sz w:val="28"/>
          <w:szCs w:val="28"/>
        </w:rPr>
        <w:t>.</w:t>
      </w:r>
    </w:p>
    <w:p w14:paraId="382AEAC1" w14:textId="77777777" w:rsidR="00124271" w:rsidRPr="00203F72" w:rsidRDefault="00124271" w:rsidP="00655A4E">
      <w:pPr>
        <w:pStyle w:val="BodyTextIndent"/>
        <w:spacing w:before="60" w:after="60" w:line="276" w:lineRule="auto"/>
        <w:jc w:val="center"/>
        <w:rPr>
          <w:szCs w:val="28"/>
        </w:rPr>
      </w:pPr>
      <w:r w:rsidRPr="00203F72">
        <w:rPr>
          <w:i/>
          <w:iCs/>
          <w:szCs w:val="28"/>
        </w:rPr>
        <w:t>(Biểu số 3.1 – gửi đính kèm)</w:t>
      </w:r>
    </w:p>
    <w:p w14:paraId="617CC840" w14:textId="77777777" w:rsidR="00124271" w:rsidRPr="00203F72" w:rsidRDefault="00124271" w:rsidP="00655A4E">
      <w:pPr>
        <w:pStyle w:val="BodyTextIndent"/>
        <w:spacing w:before="60" w:after="60" w:line="276" w:lineRule="auto"/>
        <w:ind w:firstLine="709"/>
        <w:rPr>
          <w:szCs w:val="28"/>
        </w:rPr>
      </w:pPr>
      <w:r w:rsidRPr="00203F72">
        <w:rPr>
          <w:szCs w:val="28"/>
        </w:rPr>
        <w:t>Tăng kế hoạch vốn của 4 dự án, với giá trị từ 8,464 tỷ đồng tăng lên 26,500 tỷ đồng, tương đương tăng 18,036 tỷ đồng</w:t>
      </w:r>
      <w:r w:rsidR="00AE0B40" w:rsidRPr="00203F72">
        <w:rPr>
          <w:szCs w:val="28"/>
        </w:rPr>
        <w:t xml:space="preserve"> </w:t>
      </w:r>
      <w:r w:rsidR="00AE0B40" w:rsidRPr="00203F72">
        <w:rPr>
          <w:i/>
          <w:szCs w:val="28"/>
        </w:rPr>
        <w:t>(vốn thu hồi ứng trước)</w:t>
      </w:r>
      <w:r w:rsidR="00AE0B40" w:rsidRPr="00203F72">
        <w:rPr>
          <w:szCs w:val="28"/>
        </w:rPr>
        <w:t>.</w:t>
      </w:r>
      <w:r w:rsidRPr="00203F72">
        <w:rPr>
          <w:szCs w:val="28"/>
        </w:rPr>
        <w:t xml:space="preserve">  </w:t>
      </w:r>
    </w:p>
    <w:p w14:paraId="0B1B2CCC" w14:textId="77777777" w:rsidR="00124271" w:rsidRPr="00203F72" w:rsidRDefault="00124271" w:rsidP="00655A4E">
      <w:pPr>
        <w:pStyle w:val="BodyTextIndent"/>
        <w:spacing w:before="60" w:after="60" w:line="276" w:lineRule="auto"/>
        <w:jc w:val="center"/>
        <w:rPr>
          <w:szCs w:val="28"/>
        </w:rPr>
      </w:pPr>
      <w:r w:rsidRPr="00203F72">
        <w:rPr>
          <w:i/>
          <w:iCs/>
          <w:szCs w:val="28"/>
        </w:rPr>
        <w:t>(Biểu số 3.2 – gửi đính kèm)</w:t>
      </w:r>
    </w:p>
    <w:p w14:paraId="2C925704" w14:textId="77777777" w:rsidR="00124271" w:rsidRPr="00203F72" w:rsidRDefault="00124271" w:rsidP="00655A4E">
      <w:pPr>
        <w:pStyle w:val="MyStyle3"/>
        <w:spacing w:before="60" w:after="60" w:line="276" w:lineRule="auto"/>
        <w:ind w:firstLine="720"/>
        <w:jc w:val="both"/>
        <w:rPr>
          <w:b w:val="0"/>
          <w:bCs/>
          <w:i w:val="0"/>
          <w:iCs/>
          <w:sz w:val="28"/>
          <w:szCs w:val="28"/>
        </w:rPr>
      </w:pPr>
      <w:r w:rsidRPr="00203F72">
        <w:rPr>
          <w:b w:val="0"/>
          <w:bCs/>
          <w:i w:val="0"/>
          <w:iCs/>
          <w:sz w:val="28"/>
          <w:szCs w:val="28"/>
        </w:rPr>
        <w:t>Giữ nguyên kế hoạch vốn của 25 dự án và Chương trình mục tiêu Quốc gia nông thôn mới, với giá trị 950,218 tỷ đồng</w:t>
      </w:r>
    </w:p>
    <w:p w14:paraId="0521042E" w14:textId="77777777" w:rsidR="00124271" w:rsidRPr="00203F72" w:rsidRDefault="00124271" w:rsidP="00655A4E">
      <w:pPr>
        <w:pStyle w:val="BodyTextIndent"/>
        <w:spacing w:before="60" w:after="60" w:line="276" w:lineRule="auto"/>
        <w:jc w:val="center"/>
        <w:rPr>
          <w:szCs w:val="28"/>
        </w:rPr>
      </w:pPr>
      <w:r w:rsidRPr="00203F72">
        <w:rPr>
          <w:i/>
          <w:iCs/>
          <w:szCs w:val="28"/>
        </w:rPr>
        <w:t>(Biểu số 3.3 – gửi đính kèm)</w:t>
      </w:r>
    </w:p>
    <w:p w14:paraId="5EAA1660" w14:textId="77777777" w:rsidR="007B539E" w:rsidRPr="00203F72" w:rsidRDefault="0045159F" w:rsidP="00655A4E">
      <w:pPr>
        <w:pStyle w:val="BodyTextIndent"/>
        <w:spacing w:before="60" w:after="60" w:line="276" w:lineRule="auto"/>
        <w:ind w:firstLine="720"/>
        <w:rPr>
          <w:b/>
          <w:bCs/>
          <w:szCs w:val="28"/>
        </w:rPr>
      </w:pPr>
      <w:r w:rsidRPr="00203F72">
        <w:rPr>
          <w:b/>
          <w:bCs/>
          <w:szCs w:val="28"/>
        </w:rPr>
        <w:t>e)</w:t>
      </w:r>
      <w:r w:rsidR="00DF2857" w:rsidRPr="00203F72">
        <w:rPr>
          <w:b/>
          <w:bCs/>
          <w:szCs w:val="28"/>
        </w:rPr>
        <w:t xml:space="preserve"> Vốn </w:t>
      </w:r>
      <w:r w:rsidR="00A40EF7" w:rsidRPr="00203F72">
        <w:rPr>
          <w:b/>
          <w:bCs/>
          <w:szCs w:val="28"/>
        </w:rPr>
        <w:t>nước ngoài (vốn</w:t>
      </w:r>
      <w:r w:rsidR="00DF2857" w:rsidRPr="00203F72">
        <w:rPr>
          <w:b/>
          <w:bCs/>
          <w:szCs w:val="28"/>
        </w:rPr>
        <w:t xml:space="preserve"> ODA</w:t>
      </w:r>
      <w:r w:rsidR="00A40EF7" w:rsidRPr="00203F72">
        <w:rPr>
          <w:b/>
          <w:bCs/>
          <w:szCs w:val="28"/>
        </w:rPr>
        <w:t>).</w:t>
      </w:r>
    </w:p>
    <w:p w14:paraId="3E294D85" w14:textId="77777777" w:rsidR="00AA070D" w:rsidRDefault="00AA070D" w:rsidP="00655A4E">
      <w:pPr>
        <w:pStyle w:val="MyStyleJ"/>
        <w:spacing w:before="60" w:after="60"/>
        <w:ind w:firstLine="720"/>
        <w:rPr>
          <w:sz w:val="28"/>
          <w:szCs w:val="28"/>
        </w:rPr>
      </w:pPr>
      <w:r w:rsidRPr="00316FC6">
        <w:rPr>
          <w:sz w:val="28"/>
          <w:szCs w:val="28"/>
        </w:rPr>
        <w:t xml:space="preserve">Tổng vốn: </w:t>
      </w:r>
      <w:r>
        <w:rPr>
          <w:sz w:val="28"/>
          <w:szCs w:val="28"/>
        </w:rPr>
        <w:t>497,549 tỷ đồng (</w:t>
      </w:r>
      <w:r w:rsidR="00A47337">
        <w:rPr>
          <w:sz w:val="28"/>
          <w:szCs w:val="28"/>
        </w:rPr>
        <w:t>trong đó,</w:t>
      </w:r>
      <w:r>
        <w:rPr>
          <w:sz w:val="28"/>
          <w:szCs w:val="28"/>
        </w:rPr>
        <w:t xml:space="preserve"> 422,8 tỷ đồng kế hoạch vốn năm 2020 và </w:t>
      </w:r>
      <w:r w:rsidR="00A47337">
        <w:rPr>
          <w:sz w:val="28"/>
          <w:szCs w:val="28"/>
        </w:rPr>
        <w:t>74,749 tỷ đồng kế hoạch vốn năm 2019 chuyển sang).</w:t>
      </w:r>
    </w:p>
    <w:p w14:paraId="518FCFB1" w14:textId="77777777" w:rsidR="00A47337" w:rsidRPr="00316FC6" w:rsidRDefault="00A47337" w:rsidP="00655A4E">
      <w:pPr>
        <w:pStyle w:val="MyStyleJ"/>
        <w:spacing w:before="60" w:after="60"/>
        <w:ind w:firstLine="720"/>
        <w:rPr>
          <w:sz w:val="28"/>
          <w:szCs w:val="28"/>
        </w:rPr>
      </w:pPr>
      <w:r>
        <w:rPr>
          <w:sz w:val="28"/>
          <w:szCs w:val="28"/>
        </w:rPr>
        <w:t>Điều chỉnh: 315,775 tỷ đồng</w:t>
      </w:r>
      <w:r w:rsidR="00FF4EAF">
        <w:rPr>
          <w:sz w:val="28"/>
          <w:szCs w:val="28"/>
        </w:rPr>
        <w:t xml:space="preserve"> (tương đương giảm 181,774 tỷ đồng), cụ thể như sau:</w:t>
      </w:r>
    </w:p>
    <w:p w14:paraId="151F941E" w14:textId="77777777" w:rsidR="00FF4EAF" w:rsidRDefault="00FF4EAF" w:rsidP="00655A4E">
      <w:pPr>
        <w:pStyle w:val="BodyTextIndent"/>
        <w:spacing w:before="60" w:after="60" w:line="276" w:lineRule="auto"/>
        <w:ind w:firstLine="720"/>
        <w:rPr>
          <w:szCs w:val="28"/>
        </w:rPr>
      </w:pPr>
      <w:r>
        <w:rPr>
          <w:szCs w:val="28"/>
        </w:rPr>
        <w:t xml:space="preserve">Điều chỉnh giảm kế hoạch vốn năm 2020 từ 422,8 tỷ đồng xuống còn 241,026 tỷ đồng, tương đương giảm 181,774 tỷ đồng </w:t>
      </w:r>
      <w:r w:rsidRPr="00316FC6">
        <w:rPr>
          <w:i/>
          <w:iCs/>
          <w:szCs w:val="28"/>
        </w:rPr>
        <w:t xml:space="preserve">(Biểu số </w:t>
      </w:r>
      <w:r>
        <w:rPr>
          <w:i/>
          <w:iCs/>
          <w:szCs w:val="28"/>
        </w:rPr>
        <w:t>4</w:t>
      </w:r>
      <w:r w:rsidRPr="00316FC6">
        <w:rPr>
          <w:i/>
          <w:iCs/>
          <w:szCs w:val="28"/>
        </w:rPr>
        <w:t xml:space="preserve"> – gửi đính kèm)</w:t>
      </w:r>
      <w:r>
        <w:rPr>
          <w:i/>
          <w:iCs/>
          <w:szCs w:val="28"/>
        </w:rPr>
        <w:t>.</w:t>
      </w:r>
      <w:r>
        <w:rPr>
          <w:szCs w:val="28"/>
        </w:rPr>
        <w:t xml:space="preserve"> </w:t>
      </w:r>
    </w:p>
    <w:p w14:paraId="7781FC11" w14:textId="77777777" w:rsidR="00AA070D" w:rsidRPr="00316FC6" w:rsidRDefault="00FF4EAF" w:rsidP="00655A4E">
      <w:pPr>
        <w:pStyle w:val="BodyTextIndent"/>
        <w:spacing w:before="60" w:after="60" w:line="276" w:lineRule="auto"/>
        <w:ind w:firstLine="720"/>
        <w:rPr>
          <w:szCs w:val="28"/>
        </w:rPr>
      </w:pPr>
      <w:r>
        <w:rPr>
          <w:szCs w:val="28"/>
        </w:rPr>
        <w:t>Giữ nguyên kế hoạch vốn năm 2019 chuyển sang: 74,749 tỷ đồng.</w:t>
      </w:r>
      <w:r w:rsidRPr="00316FC6">
        <w:rPr>
          <w:szCs w:val="28"/>
        </w:rPr>
        <w:t xml:space="preserve"> </w:t>
      </w:r>
    </w:p>
    <w:p w14:paraId="50B008B8" w14:textId="77777777" w:rsidR="00DF2857" w:rsidRPr="00203F72" w:rsidRDefault="00D206CF" w:rsidP="00655A4E">
      <w:pPr>
        <w:pStyle w:val="MyStyleJ"/>
        <w:spacing w:before="60" w:after="60"/>
        <w:rPr>
          <w:sz w:val="28"/>
          <w:szCs w:val="28"/>
        </w:rPr>
      </w:pPr>
      <w:r w:rsidRPr="00CD073E">
        <w:rPr>
          <w:sz w:val="28"/>
          <w:szCs w:val="28"/>
        </w:rPr>
        <w:tab/>
      </w:r>
      <w:r w:rsidR="00696524" w:rsidRPr="00203F72">
        <w:rPr>
          <w:b/>
          <w:sz w:val="28"/>
          <w:szCs w:val="28"/>
        </w:rPr>
        <w:t>Điều 2.</w:t>
      </w:r>
      <w:r w:rsidR="00A3343A" w:rsidRPr="00203F72">
        <w:rPr>
          <w:b/>
          <w:sz w:val="28"/>
          <w:szCs w:val="28"/>
        </w:rPr>
        <w:t xml:space="preserve"> </w:t>
      </w:r>
      <w:r w:rsidR="00DF2857" w:rsidRPr="00203F72">
        <w:rPr>
          <w:sz w:val="28"/>
          <w:szCs w:val="28"/>
        </w:rPr>
        <w:t>Giao Ủy ban nhân dân Tỉnh tổ chức thực hiện Nghị quyết này. Tăng cường công tác kiểm tra, giám sát chặt chẽ chỉ tiêu kế hoạch; đẩy nhanh tiến độ thanh, quyết toán công trình hoàn thành; và điều hòa nội bộ kế hoạch vốn (nếu cần thiết), báo cáo lại Hội đồng nhân dân Tỉnh tại kỳ họp gần nhất.</w:t>
      </w:r>
    </w:p>
    <w:p w14:paraId="0C4B4E18" w14:textId="77777777" w:rsidR="00696524" w:rsidRPr="00920477" w:rsidRDefault="00696524" w:rsidP="00655A4E">
      <w:pPr>
        <w:pStyle w:val="MyStyleJ"/>
        <w:spacing w:before="60" w:after="60"/>
        <w:ind w:firstLine="709"/>
        <w:rPr>
          <w:sz w:val="28"/>
          <w:szCs w:val="28"/>
        </w:rPr>
      </w:pPr>
      <w:r w:rsidRPr="00920477">
        <w:rPr>
          <w:b/>
          <w:sz w:val="28"/>
          <w:szCs w:val="28"/>
        </w:rPr>
        <w:t>Điều 3.</w:t>
      </w:r>
      <w:r w:rsidRPr="00920477">
        <w:rPr>
          <w:sz w:val="28"/>
          <w:szCs w:val="28"/>
        </w:rPr>
        <w:t xml:space="preserve"> </w:t>
      </w:r>
      <w:r w:rsidR="00BA28CD" w:rsidRPr="00BA28CD">
        <w:rPr>
          <w:sz w:val="28"/>
          <w:szCs w:val="28"/>
          <w:lang w:val="vi-VN"/>
        </w:rPr>
        <w:t>Thường trực Hội đồng nhân dân, các Ban Hội đồng nhân dân, các Tổ Đại biểu Hội đồng nhân dân và các Đại biểu Hội đồng nhân dân Tỉnh giám sát việc thực hiện Nghị quyết này</w:t>
      </w:r>
      <w:r w:rsidRPr="00920477">
        <w:rPr>
          <w:sz w:val="28"/>
          <w:szCs w:val="28"/>
        </w:rPr>
        <w:t>.</w:t>
      </w:r>
    </w:p>
    <w:p w14:paraId="3FFF9AA1" w14:textId="77777777" w:rsidR="009E6681" w:rsidRDefault="009E6681" w:rsidP="00655A4E">
      <w:pPr>
        <w:pStyle w:val="BodyTextIndent"/>
        <w:spacing w:before="60" w:after="120" w:line="276" w:lineRule="auto"/>
        <w:ind w:firstLine="709"/>
      </w:pPr>
      <w:r w:rsidRPr="0056053E">
        <w:lastRenderedPageBreak/>
        <w:t xml:space="preserve">Nghị quyết này đã được Hội đồng nhân dân </w:t>
      </w:r>
      <w:r>
        <w:t>t</w:t>
      </w:r>
      <w:r w:rsidRPr="0056053E">
        <w:t xml:space="preserve">ỉnh </w:t>
      </w:r>
      <w:r>
        <w:t xml:space="preserve">Đồng Tháp </w:t>
      </w:r>
      <w:r w:rsidRPr="0056053E">
        <w:t xml:space="preserve">khoá IX, kỳ họp thứ </w:t>
      </w:r>
      <w:r>
        <w:t>mười bảy</w:t>
      </w:r>
      <w:r w:rsidRPr="0056053E">
        <w:t xml:space="preserve"> thông qua </w:t>
      </w:r>
      <w:r>
        <w:t xml:space="preserve">ngày 08 tháng 12 năm 2020 </w:t>
      </w:r>
      <w:r w:rsidRPr="0056053E">
        <w:t xml:space="preserve">và có hiệu lực từ ngày </w:t>
      </w:r>
      <w:r>
        <w:t>thông qua</w:t>
      </w:r>
      <w:r w:rsidRPr="0056053E">
        <w:t>./.</w:t>
      </w:r>
    </w:p>
    <w:tbl>
      <w:tblPr>
        <w:tblW w:w="9834" w:type="dxa"/>
        <w:tblInd w:w="108" w:type="dxa"/>
        <w:tblLayout w:type="fixed"/>
        <w:tblLook w:val="0000" w:firstRow="0" w:lastRow="0" w:firstColumn="0" w:lastColumn="0" w:noHBand="0" w:noVBand="0"/>
      </w:tblPr>
      <w:tblGrid>
        <w:gridCol w:w="4846"/>
        <w:gridCol w:w="4988"/>
      </w:tblGrid>
      <w:tr w:rsidR="00920477" w:rsidRPr="00920477" w14:paraId="4DFEEC29" w14:textId="77777777" w:rsidTr="00752AB0">
        <w:trPr>
          <w:trHeight w:val="2984"/>
        </w:trPr>
        <w:tc>
          <w:tcPr>
            <w:tcW w:w="4846" w:type="dxa"/>
          </w:tcPr>
          <w:p w14:paraId="4BDBD6E6" w14:textId="77777777" w:rsidR="007829F9" w:rsidRPr="004849C9" w:rsidRDefault="007829F9" w:rsidP="007829F9">
            <w:pPr>
              <w:pStyle w:val="BodyTextIndent"/>
              <w:spacing w:before="120"/>
              <w:ind w:firstLine="0"/>
              <w:rPr>
                <w:b/>
                <w:sz w:val="22"/>
                <w:szCs w:val="22"/>
              </w:rPr>
            </w:pPr>
            <w:r w:rsidRPr="004849C9">
              <w:rPr>
                <w:b/>
                <w:i/>
                <w:sz w:val="22"/>
                <w:szCs w:val="22"/>
              </w:rPr>
              <w:t>Nơi nhận:</w:t>
            </w:r>
            <w:r w:rsidRPr="004849C9">
              <w:rPr>
                <w:sz w:val="22"/>
                <w:szCs w:val="22"/>
              </w:rPr>
              <w:tab/>
            </w:r>
            <w:r w:rsidRPr="004849C9">
              <w:rPr>
                <w:sz w:val="22"/>
                <w:szCs w:val="22"/>
              </w:rPr>
              <w:tab/>
            </w:r>
            <w:r w:rsidRPr="004849C9">
              <w:rPr>
                <w:sz w:val="22"/>
                <w:szCs w:val="22"/>
              </w:rPr>
              <w:tab/>
            </w:r>
            <w:r w:rsidRPr="004849C9">
              <w:rPr>
                <w:sz w:val="22"/>
                <w:szCs w:val="22"/>
              </w:rPr>
              <w:tab/>
            </w:r>
          </w:p>
          <w:p w14:paraId="4BD0092D" w14:textId="77777777" w:rsidR="00A303B2" w:rsidRPr="0048069E" w:rsidRDefault="00A303B2" w:rsidP="00A303B2">
            <w:pPr>
              <w:pStyle w:val="BodyTextIndent"/>
              <w:ind w:firstLine="0"/>
              <w:rPr>
                <w:sz w:val="22"/>
                <w:szCs w:val="22"/>
              </w:rPr>
            </w:pPr>
            <w:r w:rsidRPr="0048069E">
              <w:rPr>
                <w:sz w:val="22"/>
                <w:szCs w:val="22"/>
              </w:rPr>
              <w:t>- Như Điều 3;</w:t>
            </w:r>
          </w:p>
          <w:p w14:paraId="06FCD21A" w14:textId="77777777" w:rsidR="00A303B2" w:rsidRPr="0048069E" w:rsidRDefault="00A303B2" w:rsidP="00A303B2">
            <w:pPr>
              <w:pStyle w:val="BodyTextIndent"/>
              <w:ind w:firstLine="0"/>
              <w:rPr>
                <w:sz w:val="22"/>
                <w:szCs w:val="22"/>
              </w:rPr>
            </w:pPr>
            <w:r w:rsidRPr="0048069E">
              <w:rPr>
                <w:sz w:val="22"/>
                <w:szCs w:val="22"/>
              </w:rPr>
              <w:t>- UBTVQH, CP, Ban CTĐBQH;</w:t>
            </w:r>
          </w:p>
          <w:p w14:paraId="2C14DF40" w14:textId="77777777" w:rsidR="00A303B2" w:rsidRDefault="00A303B2" w:rsidP="00A303B2">
            <w:pPr>
              <w:pStyle w:val="BodyTextIndent"/>
              <w:ind w:firstLine="0"/>
              <w:rPr>
                <w:sz w:val="22"/>
                <w:szCs w:val="22"/>
              </w:rPr>
            </w:pPr>
            <w:r w:rsidRPr="0048069E">
              <w:rPr>
                <w:sz w:val="22"/>
                <w:szCs w:val="22"/>
              </w:rPr>
              <w:t>- Cục kiểm tra văn bản QPPL thuộc Bộ Tư pháp;</w:t>
            </w:r>
          </w:p>
          <w:p w14:paraId="37C56FBE" w14:textId="77777777" w:rsidR="00A303B2" w:rsidRPr="0048069E" w:rsidRDefault="00A303B2" w:rsidP="00A303B2">
            <w:pPr>
              <w:pStyle w:val="BodyTextIndent"/>
              <w:ind w:firstLine="0"/>
              <w:rPr>
                <w:sz w:val="22"/>
                <w:szCs w:val="22"/>
              </w:rPr>
            </w:pPr>
            <w:r>
              <w:rPr>
                <w:sz w:val="22"/>
                <w:szCs w:val="22"/>
              </w:rPr>
              <w:t>- Bộ KH&amp;ĐT;</w:t>
            </w:r>
          </w:p>
          <w:p w14:paraId="2C5CAF88" w14:textId="77777777" w:rsidR="00A303B2" w:rsidRPr="0048069E" w:rsidRDefault="00A303B2" w:rsidP="00A303B2">
            <w:pPr>
              <w:pStyle w:val="BodyTextIndent"/>
              <w:ind w:firstLine="0"/>
              <w:rPr>
                <w:sz w:val="22"/>
                <w:szCs w:val="22"/>
              </w:rPr>
            </w:pPr>
            <w:r w:rsidRPr="0048069E">
              <w:rPr>
                <w:sz w:val="22"/>
                <w:szCs w:val="22"/>
              </w:rPr>
              <w:t>- TT/TU, UBND, UBMTTQVN Tỉnh;</w:t>
            </w:r>
          </w:p>
          <w:p w14:paraId="7AC6B045" w14:textId="77777777" w:rsidR="00A303B2" w:rsidRPr="0048069E" w:rsidRDefault="00A303B2" w:rsidP="00A303B2">
            <w:pPr>
              <w:pStyle w:val="BodyTextIndent"/>
              <w:ind w:firstLine="0"/>
              <w:rPr>
                <w:sz w:val="22"/>
                <w:szCs w:val="22"/>
              </w:rPr>
            </w:pPr>
            <w:r w:rsidRPr="0048069E">
              <w:rPr>
                <w:sz w:val="22"/>
                <w:szCs w:val="22"/>
              </w:rPr>
              <w:t>- UBKT Tỉnh ủy, Đoàn ĐBQH Tỉnh;</w:t>
            </w:r>
          </w:p>
          <w:p w14:paraId="33654C4A" w14:textId="77777777" w:rsidR="00A303B2" w:rsidRPr="0048069E" w:rsidRDefault="00A303B2" w:rsidP="00A303B2">
            <w:pPr>
              <w:pStyle w:val="BodyTextIndent"/>
              <w:ind w:firstLine="0"/>
              <w:rPr>
                <w:sz w:val="22"/>
                <w:szCs w:val="22"/>
              </w:rPr>
            </w:pPr>
            <w:r w:rsidRPr="0048069E">
              <w:rPr>
                <w:sz w:val="22"/>
                <w:szCs w:val="22"/>
              </w:rPr>
              <w:t>- Các Sở, ban, ngành Tỉnh;</w:t>
            </w:r>
          </w:p>
          <w:p w14:paraId="502C8B39" w14:textId="77777777" w:rsidR="00A303B2" w:rsidRPr="0048069E" w:rsidRDefault="00A303B2" w:rsidP="00A303B2">
            <w:pPr>
              <w:pStyle w:val="BodyTextIndent"/>
              <w:ind w:firstLine="0"/>
              <w:rPr>
                <w:sz w:val="22"/>
                <w:szCs w:val="22"/>
              </w:rPr>
            </w:pPr>
            <w:r w:rsidRPr="0048069E">
              <w:rPr>
                <w:sz w:val="22"/>
                <w:szCs w:val="22"/>
              </w:rPr>
              <w:t>- TT. HĐND, UBND huyện, thành phố;</w:t>
            </w:r>
          </w:p>
          <w:p w14:paraId="57E5E977" w14:textId="77777777" w:rsidR="00A303B2" w:rsidRPr="0048069E" w:rsidRDefault="00A303B2" w:rsidP="00A303B2">
            <w:pPr>
              <w:pStyle w:val="BodyTextIndent"/>
              <w:ind w:firstLine="0"/>
              <w:rPr>
                <w:sz w:val="22"/>
                <w:szCs w:val="22"/>
              </w:rPr>
            </w:pPr>
            <w:r w:rsidRPr="0048069E">
              <w:rPr>
                <w:sz w:val="22"/>
                <w:szCs w:val="22"/>
              </w:rPr>
              <w:t xml:space="preserve">- Công báo Tỉnh;                                                                            </w:t>
            </w:r>
          </w:p>
          <w:p w14:paraId="2A3A5951" w14:textId="77777777" w:rsidR="004D1B27" w:rsidRPr="00920477" w:rsidRDefault="00A303B2" w:rsidP="00A303B2">
            <w:pPr>
              <w:rPr>
                <w:sz w:val="22"/>
              </w:rPr>
            </w:pPr>
            <w:r w:rsidRPr="0048069E">
              <w:rPr>
                <w:sz w:val="22"/>
                <w:szCs w:val="22"/>
              </w:rPr>
              <w:t>- Lưu: VT, KT-NS.</w:t>
            </w:r>
            <w:r w:rsidR="007829F9" w:rsidRPr="00920477">
              <w:rPr>
                <w:sz w:val="24"/>
              </w:rPr>
              <w:tab/>
            </w:r>
          </w:p>
        </w:tc>
        <w:tc>
          <w:tcPr>
            <w:tcW w:w="4988" w:type="dxa"/>
          </w:tcPr>
          <w:p w14:paraId="1B813F29" w14:textId="77777777" w:rsidR="004D1B27" w:rsidRPr="00920477" w:rsidRDefault="00752AB0" w:rsidP="007F06E2">
            <w:pPr>
              <w:jc w:val="center"/>
              <w:rPr>
                <w:b/>
                <w:sz w:val="28"/>
                <w:szCs w:val="28"/>
              </w:rPr>
            </w:pPr>
            <w:r w:rsidRPr="00920477">
              <w:rPr>
                <w:b/>
                <w:sz w:val="28"/>
                <w:szCs w:val="28"/>
              </w:rPr>
              <w:t>CHỦ TỊCH</w:t>
            </w:r>
          </w:p>
          <w:p w14:paraId="4860CD5A" w14:textId="77777777" w:rsidR="004D1B27" w:rsidRPr="00920477" w:rsidRDefault="004D1B27" w:rsidP="007F06E2">
            <w:pPr>
              <w:jc w:val="center"/>
              <w:rPr>
                <w:b/>
                <w:sz w:val="28"/>
                <w:szCs w:val="28"/>
              </w:rPr>
            </w:pPr>
          </w:p>
          <w:p w14:paraId="44B2DE25" w14:textId="77777777" w:rsidR="004D1B27" w:rsidRPr="00920477" w:rsidRDefault="004D1B27" w:rsidP="007F06E2">
            <w:pPr>
              <w:jc w:val="center"/>
              <w:rPr>
                <w:b/>
                <w:sz w:val="28"/>
                <w:szCs w:val="28"/>
              </w:rPr>
            </w:pPr>
          </w:p>
          <w:p w14:paraId="1D01133A" w14:textId="77777777" w:rsidR="004D1B27" w:rsidRPr="00920477" w:rsidRDefault="004D1B27" w:rsidP="007F06E2">
            <w:pPr>
              <w:jc w:val="center"/>
              <w:rPr>
                <w:b/>
                <w:sz w:val="28"/>
                <w:szCs w:val="28"/>
              </w:rPr>
            </w:pPr>
          </w:p>
          <w:p w14:paraId="4D4B4D1E" w14:textId="77777777" w:rsidR="004D1B27" w:rsidRPr="00920477" w:rsidRDefault="004D1B27" w:rsidP="007F06E2">
            <w:pPr>
              <w:jc w:val="center"/>
              <w:rPr>
                <w:b/>
                <w:sz w:val="28"/>
                <w:szCs w:val="28"/>
              </w:rPr>
            </w:pPr>
          </w:p>
          <w:p w14:paraId="5CDA68D0" w14:textId="77777777" w:rsidR="000D5CEF" w:rsidRPr="00920477" w:rsidRDefault="000D5CEF" w:rsidP="000D5CEF"/>
          <w:p w14:paraId="41F3E980" w14:textId="77777777" w:rsidR="008B3F81" w:rsidRPr="00920477" w:rsidRDefault="008B3F81" w:rsidP="000D5CEF"/>
          <w:p w14:paraId="4551A998" w14:textId="77777777" w:rsidR="008B3F81" w:rsidRPr="00920477" w:rsidRDefault="008B3F81" w:rsidP="000D5CEF"/>
          <w:p w14:paraId="68E3FABE" w14:textId="77777777" w:rsidR="00E5662B" w:rsidRPr="00920477" w:rsidRDefault="00E5662B" w:rsidP="007F06E2">
            <w:pPr>
              <w:pStyle w:val="Heading2"/>
              <w:jc w:val="center"/>
              <w:rPr>
                <w:b/>
                <w:i w:val="0"/>
                <w:szCs w:val="28"/>
              </w:rPr>
            </w:pPr>
          </w:p>
          <w:p w14:paraId="0D1732A7" w14:textId="77777777" w:rsidR="004D1B27" w:rsidRPr="00920477" w:rsidRDefault="00A303B2" w:rsidP="007F06E2">
            <w:pPr>
              <w:pStyle w:val="Heading2"/>
              <w:jc w:val="center"/>
              <w:rPr>
                <w:i w:val="0"/>
                <w:szCs w:val="28"/>
              </w:rPr>
            </w:pPr>
            <w:r>
              <w:rPr>
                <w:b/>
                <w:i w:val="0"/>
                <w:szCs w:val="28"/>
              </w:rPr>
              <w:t>Phan Văn Thắng</w:t>
            </w:r>
          </w:p>
        </w:tc>
      </w:tr>
    </w:tbl>
    <w:p w14:paraId="47B6C346" w14:textId="77777777" w:rsidR="00BB4FB4" w:rsidRPr="00920477" w:rsidRDefault="00BB4FB4" w:rsidP="008B3F81">
      <w:pPr>
        <w:pStyle w:val="BodyTextIndent"/>
        <w:spacing w:before="120"/>
        <w:ind w:firstLine="0"/>
      </w:pPr>
    </w:p>
    <w:sectPr w:rsidR="00BB4FB4" w:rsidRPr="00920477" w:rsidSect="00655A4E">
      <w:headerReference w:type="even" r:id="rId7"/>
      <w:headerReference w:type="default" r:id="rId8"/>
      <w:pgSz w:w="11907" w:h="16840" w:code="9"/>
      <w:pgMar w:top="1134" w:right="1134"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C109D4" w14:textId="77777777" w:rsidR="009B2E62" w:rsidRDefault="009B2E62">
      <w:r>
        <w:separator/>
      </w:r>
    </w:p>
  </w:endnote>
  <w:endnote w:type="continuationSeparator" w:id="0">
    <w:p w14:paraId="05595FB9" w14:textId="77777777" w:rsidR="009B2E62" w:rsidRDefault="009B2E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2DC92A" w14:textId="77777777" w:rsidR="009B2E62" w:rsidRDefault="009B2E62">
      <w:r>
        <w:separator/>
      </w:r>
    </w:p>
  </w:footnote>
  <w:footnote w:type="continuationSeparator" w:id="0">
    <w:p w14:paraId="5CBEED99" w14:textId="77777777" w:rsidR="009B2E62" w:rsidRDefault="009B2E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76BAB2" w14:textId="77777777" w:rsidR="00945B8A" w:rsidRDefault="00FD36B3" w:rsidP="00D3096E">
    <w:pPr>
      <w:pStyle w:val="Header"/>
      <w:framePr w:wrap="around" w:vAnchor="text" w:hAnchor="margin" w:xAlign="center" w:y="1"/>
      <w:rPr>
        <w:rStyle w:val="PageNumber"/>
      </w:rPr>
    </w:pPr>
    <w:r>
      <w:rPr>
        <w:rStyle w:val="PageNumber"/>
      </w:rPr>
      <w:fldChar w:fldCharType="begin"/>
    </w:r>
    <w:r w:rsidR="00945B8A">
      <w:rPr>
        <w:rStyle w:val="PageNumber"/>
      </w:rPr>
      <w:instrText xml:space="preserve">PAGE  </w:instrText>
    </w:r>
    <w:r>
      <w:rPr>
        <w:rStyle w:val="PageNumber"/>
      </w:rPr>
      <w:fldChar w:fldCharType="end"/>
    </w:r>
  </w:p>
  <w:p w14:paraId="57E4EFBE" w14:textId="77777777" w:rsidR="00945B8A" w:rsidRDefault="00945B8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6A02A3" w14:textId="77777777" w:rsidR="00945B8A" w:rsidRPr="00902ED8" w:rsidRDefault="00FD36B3" w:rsidP="00D3096E">
    <w:pPr>
      <w:pStyle w:val="Header"/>
      <w:framePr w:wrap="around" w:vAnchor="text" w:hAnchor="margin" w:xAlign="center" w:y="1"/>
      <w:rPr>
        <w:rStyle w:val="PageNumber"/>
        <w:sz w:val="28"/>
        <w:szCs w:val="28"/>
      </w:rPr>
    </w:pPr>
    <w:r w:rsidRPr="00902ED8">
      <w:rPr>
        <w:rStyle w:val="PageNumber"/>
        <w:sz w:val="28"/>
        <w:szCs w:val="28"/>
      </w:rPr>
      <w:fldChar w:fldCharType="begin"/>
    </w:r>
    <w:r w:rsidR="00945B8A" w:rsidRPr="00902ED8">
      <w:rPr>
        <w:rStyle w:val="PageNumber"/>
        <w:sz w:val="28"/>
        <w:szCs w:val="28"/>
      </w:rPr>
      <w:instrText xml:space="preserve">PAGE  </w:instrText>
    </w:r>
    <w:r w:rsidRPr="00902ED8">
      <w:rPr>
        <w:rStyle w:val="PageNumber"/>
        <w:sz w:val="28"/>
        <w:szCs w:val="28"/>
      </w:rPr>
      <w:fldChar w:fldCharType="separate"/>
    </w:r>
    <w:r w:rsidR="00BA28CD">
      <w:rPr>
        <w:rStyle w:val="PageNumber"/>
        <w:noProof/>
        <w:sz w:val="28"/>
        <w:szCs w:val="28"/>
      </w:rPr>
      <w:t>3</w:t>
    </w:r>
    <w:r w:rsidRPr="00902ED8">
      <w:rPr>
        <w:rStyle w:val="PageNumber"/>
        <w:sz w:val="28"/>
        <w:szCs w:val="28"/>
      </w:rPr>
      <w:fldChar w:fldCharType="end"/>
    </w:r>
  </w:p>
  <w:p w14:paraId="44F40FD1" w14:textId="77777777" w:rsidR="00945B8A" w:rsidRDefault="00945B8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7CE5D1C"/>
    <w:multiLevelType w:val="hybridMultilevel"/>
    <w:tmpl w:val="1B20DBD0"/>
    <w:lvl w:ilvl="0" w:tplc="BFCEC66E">
      <w:start w:val="11"/>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embedSystemFonts/>
  <w:hideSpellingError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D7E4C"/>
    <w:rsid w:val="0000319F"/>
    <w:rsid w:val="000106D5"/>
    <w:rsid w:val="000109D1"/>
    <w:rsid w:val="0001102E"/>
    <w:rsid w:val="000112E3"/>
    <w:rsid w:val="00025597"/>
    <w:rsid w:val="00032039"/>
    <w:rsid w:val="00032C4D"/>
    <w:rsid w:val="000432EF"/>
    <w:rsid w:val="00064388"/>
    <w:rsid w:val="00065FA4"/>
    <w:rsid w:val="000722DC"/>
    <w:rsid w:val="00073198"/>
    <w:rsid w:val="00073A27"/>
    <w:rsid w:val="000773BC"/>
    <w:rsid w:val="00082843"/>
    <w:rsid w:val="00083DBA"/>
    <w:rsid w:val="00084E98"/>
    <w:rsid w:val="000871CE"/>
    <w:rsid w:val="000912F9"/>
    <w:rsid w:val="00092B99"/>
    <w:rsid w:val="0009375B"/>
    <w:rsid w:val="00095DC9"/>
    <w:rsid w:val="000967BF"/>
    <w:rsid w:val="000A0C22"/>
    <w:rsid w:val="000C248D"/>
    <w:rsid w:val="000D0298"/>
    <w:rsid w:val="000D1985"/>
    <w:rsid w:val="000D5CEF"/>
    <w:rsid w:val="000E09C2"/>
    <w:rsid w:val="000E72EE"/>
    <w:rsid w:val="000F3E78"/>
    <w:rsid w:val="00106CEC"/>
    <w:rsid w:val="0011104C"/>
    <w:rsid w:val="00114977"/>
    <w:rsid w:val="0011620E"/>
    <w:rsid w:val="001232F5"/>
    <w:rsid w:val="00124271"/>
    <w:rsid w:val="00152AEB"/>
    <w:rsid w:val="001534F6"/>
    <w:rsid w:val="0016011A"/>
    <w:rsid w:val="001609DB"/>
    <w:rsid w:val="0016415A"/>
    <w:rsid w:val="00170BA2"/>
    <w:rsid w:val="001723A8"/>
    <w:rsid w:val="00172596"/>
    <w:rsid w:val="001767D8"/>
    <w:rsid w:val="00184C1B"/>
    <w:rsid w:val="00190D60"/>
    <w:rsid w:val="00191173"/>
    <w:rsid w:val="001915D7"/>
    <w:rsid w:val="001A49E8"/>
    <w:rsid w:val="001A5614"/>
    <w:rsid w:val="001B1400"/>
    <w:rsid w:val="001B2C76"/>
    <w:rsid w:val="001D47D4"/>
    <w:rsid w:val="001D7C7E"/>
    <w:rsid w:val="001E541F"/>
    <w:rsid w:val="001E7236"/>
    <w:rsid w:val="001F22B1"/>
    <w:rsid w:val="001F2824"/>
    <w:rsid w:val="001F3D3A"/>
    <w:rsid w:val="001F75DD"/>
    <w:rsid w:val="00200201"/>
    <w:rsid w:val="00203F72"/>
    <w:rsid w:val="00212BEA"/>
    <w:rsid w:val="002235DD"/>
    <w:rsid w:val="00226106"/>
    <w:rsid w:val="002269EB"/>
    <w:rsid w:val="00226C25"/>
    <w:rsid w:val="00230268"/>
    <w:rsid w:val="00241B99"/>
    <w:rsid w:val="00250CFF"/>
    <w:rsid w:val="00253B2E"/>
    <w:rsid w:val="00255157"/>
    <w:rsid w:val="002572F0"/>
    <w:rsid w:val="00260864"/>
    <w:rsid w:val="0026371F"/>
    <w:rsid w:val="00267A1E"/>
    <w:rsid w:val="00270B64"/>
    <w:rsid w:val="00270CF2"/>
    <w:rsid w:val="0027559E"/>
    <w:rsid w:val="002767D6"/>
    <w:rsid w:val="00295E5E"/>
    <w:rsid w:val="00297A02"/>
    <w:rsid w:val="002B26AA"/>
    <w:rsid w:val="002C1C82"/>
    <w:rsid w:val="002C256A"/>
    <w:rsid w:val="002D0C3A"/>
    <w:rsid w:val="002D154B"/>
    <w:rsid w:val="002D320A"/>
    <w:rsid w:val="002D4275"/>
    <w:rsid w:val="002E032A"/>
    <w:rsid w:val="002E5930"/>
    <w:rsid w:val="00302B7B"/>
    <w:rsid w:val="003066E2"/>
    <w:rsid w:val="00321B3E"/>
    <w:rsid w:val="00324C24"/>
    <w:rsid w:val="003308FC"/>
    <w:rsid w:val="00344725"/>
    <w:rsid w:val="0034580E"/>
    <w:rsid w:val="003500AA"/>
    <w:rsid w:val="0035116C"/>
    <w:rsid w:val="00352CD9"/>
    <w:rsid w:val="00357F47"/>
    <w:rsid w:val="003657E9"/>
    <w:rsid w:val="00366575"/>
    <w:rsid w:val="003738EC"/>
    <w:rsid w:val="00375704"/>
    <w:rsid w:val="003843D8"/>
    <w:rsid w:val="003A3E8F"/>
    <w:rsid w:val="003C07B4"/>
    <w:rsid w:val="003C3F1A"/>
    <w:rsid w:val="003C6EEA"/>
    <w:rsid w:val="003D19DF"/>
    <w:rsid w:val="003E08B0"/>
    <w:rsid w:val="003E26B3"/>
    <w:rsid w:val="00404C09"/>
    <w:rsid w:val="0041157B"/>
    <w:rsid w:val="004133F1"/>
    <w:rsid w:val="004175FA"/>
    <w:rsid w:val="00422812"/>
    <w:rsid w:val="00422C8C"/>
    <w:rsid w:val="004262D1"/>
    <w:rsid w:val="004268D5"/>
    <w:rsid w:val="004308D9"/>
    <w:rsid w:val="00447989"/>
    <w:rsid w:val="004507CE"/>
    <w:rsid w:val="0045159F"/>
    <w:rsid w:val="00452091"/>
    <w:rsid w:val="00460C95"/>
    <w:rsid w:val="00463919"/>
    <w:rsid w:val="0047126C"/>
    <w:rsid w:val="00474E8C"/>
    <w:rsid w:val="00477B25"/>
    <w:rsid w:val="004814CF"/>
    <w:rsid w:val="0048208E"/>
    <w:rsid w:val="00482780"/>
    <w:rsid w:val="004849C9"/>
    <w:rsid w:val="00484C7A"/>
    <w:rsid w:val="00487F46"/>
    <w:rsid w:val="00497572"/>
    <w:rsid w:val="004A29B0"/>
    <w:rsid w:val="004A3AA7"/>
    <w:rsid w:val="004B05CF"/>
    <w:rsid w:val="004C0582"/>
    <w:rsid w:val="004C1EFB"/>
    <w:rsid w:val="004C41B0"/>
    <w:rsid w:val="004D1B27"/>
    <w:rsid w:val="004D210C"/>
    <w:rsid w:val="004D4F7B"/>
    <w:rsid w:val="004D6622"/>
    <w:rsid w:val="004D6C94"/>
    <w:rsid w:val="004E0489"/>
    <w:rsid w:val="004E285C"/>
    <w:rsid w:val="0050352E"/>
    <w:rsid w:val="005039E6"/>
    <w:rsid w:val="00504672"/>
    <w:rsid w:val="00504C11"/>
    <w:rsid w:val="005065E9"/>
    <w:rsid w:val="00515C6F"/>
    <w:rsid w:val="0052387B"/>
    <w:rsid w:val="005358F4"/>
    <w:rsid w:val="0054006D"/>
    <w:rsid w:val="00550564"/>
    <w:rsid w:val="00556049"/>
    <w:rsid w:val="00565860"/>
    <w:rsid w:val="00565D00"/>
    <w:rsid w:val="005825F2"/>
    <w:rsid w:val="00584F6F"/>
    <w:rsid w:val="00594104"/>
    <w:rsid w:val="005A2145"/>
    <w:rsid w:val="005A2763"/>
    <w:rsid w:val="005A3717"/>
    <w:rsid w:val="005B00A5"/>
    <w:rsid w:val="005B07C6"/>
    <w:rsid w:val="005B1297"/>
    <w:rsid w:val="005B6640"/>
    <w:rsid w:val="005B7F25"/>
    <w:rsid w:val="005C051F"/>
    <w:rsid w:val="005C425E"/>
    <w:rsid w:val="005C4D5D"/>
    <w:rsid w:val="005D2B73"/>
    <w:rsid w:val="005D660B"/>
    <w:rsid w:val="005E086A"/>
    <w:rsid w:val="005E0FE2"/>
    <w:rsid w:val="00601F08"/>
    <w:rsid w:val="00603207"/>
    <w:rsid w:val="006039BB"/>
    <w:rsid w:val="00604179"/>
    <w:rsid w:val="00614A6C"/>
    <w:rsid w:val="006208F7"/>
    <w:rsid w:val="00625D3A"/>
    <w:rsid w:val="00634AA8"/>
    <w:rsid w:val="00637B3D"/>
    <w:rsid w:val="006437B2"/>
    <w:rsid w:val="0065500E"/>
    <w:rsid w:val="00655A4E"/>
    <w:rsid w:val="00662F6B"/>
    <w:rsid w:val="00670F11"/>
    <w:rsid w:val="0067691A"/>
    <w:rsid w:val="00676CD9"/>
    <w:rsid w:val="006810F6"/>
    <w:rsid w:val="006825C5"/>
    <w:rsid w:val="00683131"/>
    <w:rsid w:val="00683404"/>
    <w:rsid w:val="006873DF"/>
    <w:rsid w:val="00687544"/>
    <w:rsid w:val="00691BF0"/>
    <w:rsid w:val="00692552"/>
    <w:rsid w:val="00692A15"/>
    <w:rsid w:val="00693798"/>
    <w:rsid w:val="0069638D"/>
    <w:rsid w:val="00696524"/>
    <w:rsid w:val="006A122F"/>
    <w:rsid w:val="006A2FD1"/>
    <w:rsid w:val="006C6931"/>
    <w:rsid w:val="006C761E"/>
    <w:rsid w:val="006D2B3B"/>
    <w:rsid w:val="006E3F1C"/>
    <w:rsid w:val="00711105"/>
    <w:rsid w:val="00712F97"/>
    <w:rsid w:val="00715FB5"/>
    <w:rsid w:val="00730C6E"/>
    <w:rsid w:val="00731482"/>
    <w:rsid w:val="00732F18"/>
    <w:rsid w:val="007348EF"/>
    <w:rsid w:val="00752AB0"/>
    <w:rsid w:val="00752D79"/>
    <w:rsid w:val="00756D1A"/>
    <w:rsid w:val="007679B1"/>
    <w:rsid w:val="0077267F"/>
    <w:rsid w:val="007829F9"/>
    <w:rsid w:val="00784BAF"/>
    <w:rsid w:val="00786B3D"/>
    <w:rsid w:val="0078748A"/>
    <w:rsid w:val="0079533F"/>
    <w:rsid w:val="0079685C"/>
    <w:rsid w:val="00797E1D"/>
    <w:rsid w:val="007A0264"/>
    <w:rsid w:val="007A0FC3"/>
    <w:rsid w:val="007B1A98"/>
    <w:rsid w:val="007B539E"/>
    <w:rsid w:val="007B5827"/>
    <w:rsid w:val="007B5F3E"/>
    <w:rsid w:val="007B631B"/>
    <w:rsid w:val="007B77F2"/>
    <w:rsid w:val="007C25A0"/>
    <w:rsid w:val="007C76A4"/>
    <w:rsid w:val="007D469D"/>
    <w:rsid w:val="007D55EC"/>
    <w:rsid w:val="007E0634"/>
    <w:rsid w:val="007E6D38"/>
    <w:rsid w:val="007F06E2"/>
    <w:rsid w:val="007F7753"/>
    <w:rsid w:val="008018B3"/>
    <w:rsid w:val="0081050E"/>
    <w:rsid w:val="008116FB"/>
    <w:rsid w:val="00811AA5"/>
    <w:rsid w:val="00813D62"/>
    <w:rsid w:val="008237FF"/>
    <w:rsid w:val="008238AC"/>
    <w:rsid w:val="00824F26"/>
    <w:rsid w:val="00826207"/>
    <w:rsid w:val="00833830"/>
    <w:rsid w:val="0083660B"/>
    <w:rsid w:val="008414A4"/>
    <w:rsid w:val="00850854"/>
    <w:rsid w:val="008527BD"/>
    <w:rsid w:val="00855ACB"/>
    <w:rsid w:val="00863B5C"/>
    <w:rsid w:val="0087612F"/>
    <w:rsid w:val="008808A1"/>
    <w:rsid w:val="00881C01"/>
    <w:rsid w:val="00884D48"/>
    <w:rsid w:val="00886CF0"/>
    <w:rsid w:val="00890562"/>
    <w:rsid w:val="00895FDF"/>
    <w:rsid w:val="008A0325"/>
    <w:rsid w:val="008A0EC4"/>
    <w:rsid w:val="008A2642"/>
    <w:rsid w:val="008A3279"/>
    <w:rsid w:val="008B230B"/>
    <w:rsid w:val="008B3F81"/>
    <w:rsid w:val="008B5C3E"/>
    <w:rsid w:val="008B6613"/>
    <w:rsid w:val="008C4BE4"/>
    <w:rsid w:val="008C7A17"/>
    <w:rsid w:val="008E0EE6"/>
    <w:rsid w:val="008E20A6"/>
    <w:rsid w:val="00900CA8"/>
    <w:rsid w:val="00902ED8"/>
    <w:rsid w:val="00915C67"/>
    <w:rsid w:val="00920477"/>
    <w:rsid w:val="00921144"/>
    <w:rsid w:val="009246F0"/>
    <w:rsid w:val="00930E19"/>
    <w:rsid w:val="00931ACE"/>
    <w:rsid w:val="00933A02"/>
    <w:rsid w:val="00934B1C"/>
    <w:rsid w:val="0093624F"/>
    <w:rsid w:val="00943318"/>
    <w:rsid w:val="00943539"/>
    <w:rsid w:val="009447B7"/>
    <w:rsid w:val="0094512A"/>
    <w:rsid w:val="00945B8A"/>
    <w:rsid w:val="00946B06"/>
    <w:rsid w:val="009627CF"/>
    <w:rsid w:val="009679B9"/>
    <w:rsid w:val="00971DD9"/>
    <w:rsid w:val="00972663"/>
    <w:rsid w:val="00986190"/>
    <w:rsid w:val="009937A4"/>
    <w:rsid w:val="0099678B"/>
    <w:rsid w:val="00996D9E"/>
    <w:rsid w:val="009A5455"/>
    <w:rsid w:val="009B2E62"/>
    <w:rsid w:val="009B3AC0"/>
    <w:rsid w:val="009B64DD"/>
    <w:rsid w:val="009B75A3"/>
    <w:rsid w:val="009B7FAF"/>
    <w:rsid w:val="009C3585"/>
    <w:rsid w:val="009C7247"/>
    <w:rsid w:val="009D49C6"/>
    <w:rsid w:val="009E6681"/>
    <w:rsid w:val="00A0555E"/>
    <w:rsid w:val="00A0667C"/>
    <w:rsid w:val="00A2741A"/>
    <w:rsid w:val="00A278B7"/>
    <w:rsid w:val="00A27E71"/>
    <w:rsid w:val="00A303B2"/>
    <w:rsid w:val="00A3343A"/>
    <w:rsid w:val="00A40EF7"/>
    <w:rsid w:val="00A47337"/>
    <w:rsid w:val="00A5132F"/>
    <w:rsid w:val="00A54EAC"/>
    <w:rsid w:val="00A6019F"/>
    <w:rsid w:val="00A61497"/>
    <w:rsid w:val="00A61E02"/>
    <w:rsid w:val="00A70948"/>
    <w:rsid w:val="00A71002"/>
    <w:rsid w:val="00A7471E"/>
    <w:rsid w:val="00A814F8"/>
    <w:rsid w:val="00A85DE4"/>
    <w:rsid w:val="00A867B7"/>
    <w:rsid w:val="00A86C2B"/>
    <w:rsid w:val="00A90BB2"/>
    <w:rsid w:val="00AA070D"/>
    <w:rsid w:val="00AA4815"/>
    <w:rsid w:val="00AA5FA5"/>
    <w:rsid w:val="00AB28A7"/>
    <w:rsid w:val="00AB3F91"/>
    <w:rsid w:val="00AC3E90"/>
    <w:rsid w:val="00AC72EF"/>
    <w:rsid w:val="00AD09F8"/>
    <w:rsid w:val="00AD423E"/>
    <w:rsid w:val="00AD5202"/>
    <w:rsid w:val="00AD7E4C"/>
    <w:rsid w:val="00AE0B40"/>
    <w:rsid w:val="00AE396F"/>
    <w:rsid w:val="00AE41AB"/>
    <w:rsid w:val="00B03B6E"/>
    <w:rsid w:val="00B05F5A"/>
    <w:rsid w:val="00B07094"/>
    <w:rsid w:val="00B27D45"/>
    <w:rsid w:val="00B34703"/>
    <w:rsid w:val="00B42190"/>
    <w:rsid w:val="00B45439"/>
    <w:rsid w:val="00B5201E"/>
    <w:rsid w:val="00B556BA"/>
    <w:rsid w:val="00B631F8"/>
    <w:rsid w:val="00B95420"/>
    <w:rsid w:val="00BA28CD"/>
    <w:rsid w:val="00BA4EC0"/>
    <w:rsid w:val="00BA6829"/>
    <w:rsid w:val="00BB462F"/>
    <w:rsid w:val="00BB4FB4"/>
    <w:rsid w:val="00BC4C3A"/>
    <w:rsid w:val="00BC6680"/>
    <w:rsid w:val="00BD6D2C"/>
    <w:rsid w:val="00BE2C6F"/>
    <w:rsid w:val="00BE5A40"/>
    <w:rsid w:val="00BE68BE"/>
    <w:rsid w:val="00BF1838"/>
    <w:rsid w:val="00BF452B"/>
    <w:rsid w:val="00C009D1"/>
    <w:rsid w:val="00C06AB3"/>
    <w:rsid w:val="00C2365D"/>
    <w:rsid w:val="00C30753"/>
    <w:rsid w:val="00C34085"/>
    <w:rsid w:val="00C349DF"/>
    <w:rsid w:val="00C367BF"/>
    <w:rsid w:val="00C37F05"/>
    <w:rsid w:val="00C40C5B"/>
    <w:rsid w:val="00C4553D"/>
    <w:rsid w:val="00C47DFF"/>
    <w:rsid w:val="00C53675"/>
    <w:rsid w:val="00C53C19"/>
    <w:rsid w:val="00C7058B"/>
    <w:rsid w:val="00C72C70"/>
    <w:rsid w:val="00C83048"/>
    <w:rsid w:val="00C836DF"/>
    <w:rsid w:val="00C85EF6"/>
    <w:rsid w:val="00C944D5"/>
    <w:rsid w:val="00CA589A"/>
    <w:rsid w:val="00CB5FF6"/>
    <w:rsid w:val="00CC6410"/>
    <w:rsid w:val="00CD0490"/>
    <w:rsid w:val="00CD073E"/>
    <w:rsid w:val="00CD1ECE"/>
    <w:rsid w:val="00CD2C55"/>
    <w:rsid w:val="00CD60AA"/>
    <w:rsid w:val="00CE3AE9"/>
    <w:rsid w:val="00CF653F"/>
    <w:rsid w:val="00CF68ED"/>
    <w:rsid w:val="00D0583A"/>
    <w:rsid w:val="00D15C40"/>
    <w:rsid w:val="00D174AD"/>
    <w:rsid w:val="00D206CF"/>
    <w:rsid w:val="00D20FC0"/>
    <w:rsid w:val="00D277D2"/>
    <w:rsid w:val="00D3096E"/>
    <w:rsid w:val="00D331FF"/>
    <w:rsid w:val="00D44A20"/>
    <w:rsid w:val="00D44B1B"/>
    <w:rsid w:val="00D45752"/>
    <w:rsid w:val="00D45ADC"/>
    <w:rsid w:val="00D617CB"/>
    <w:rsid w:val="00D668EE"/>
    <w:rsid w:val="00D66BB7"/>
    <w:rsid w:val="00D75509"/>
    <w:rsid w:val="00D92E72"/>
    <w:rsid w:val="00DA00AE"/>
    <w:rsid w:val="00DA0439"/>
    <w:rsid w:val="00DA0ACD"/>
    <w:rsid w:val="00DA7D03"/>
    <w:rsid w:val="00DB08E6"/>
    <w:rsid w:val="00DE7496"/>
    <w:rsid w:val="00DF2857"/>
    <w:rsid w:val="00E03621"/>
    <w:rsid w:val="00E03744"/>
    <w:rsid w:val="00E20929"/>
    <w:rsid w:val="00E22C81"/>
    <w:rsid w:val="00E26B7B"/>
    <w:rsid w:val="00E26BF0"/>
    <w:rsid w:val="00E26F00"/>
    <w:rsid w:val="00E41BAE"/>
    <w:rsid w:val="00E429CB"/>
    <w:rsid w:val="00E46D32"/>
    <w:rsid w:val="00E500BA"/>
    <w:rsid w:val="00E5202F"/>
    <w:rsid w:val="00E525D4"/>
    <w:rsid w:val="00E5662B"/>
    <w:rsid w:val="00E56BB0"/>
    <w:rsid w:val="00E822CE"/>
    <w:rsid w:val="00E839FB"/>
    <w:rsid w:val="00E83C2F"/>
    <w:rsid w:val="00E86DD0"/>
    <w:rsid w:val="00E87856"/>
    <w:rsid w:val="00E87C47"/>
    <w:rsid w:val="00E93FCF"/>
    <w:rsid w:val="00E93FF2"/>
    <w:rsid w:val="00E94209"/>
    <w:rsid w:val="00E95E4A"/>
    <w:rsid w:val="00E96C87"/>
    <w:rsid w:val="00EB1C3F"/>
    <w:rsid w:val="00EC4E82"/>
    <w:rsid w:val="00EC51A6"/>
    <w:rsid w:val="00ED0A0F"/>
    <w:rsid w:val="00ED0DB6"/>
    <w:rsid w:val="00EE0D5F"/>
    <w:rsid w:val="00EE449D"/>
    <w:rsid w:val="00EF055B"/>
    <w:rsid w:val="00F005FA"/>
    <w:rsid w:val="00F032DB"/>
    <w:rsid w:val="00F16280"/>
    <w:rsid w:val="00F16B29"/>
    <w:rsid w:val="00F2027E"/>
    <w:rsid w:val="00F30FC9"/>
    <w:rsid w:val="00F329C2"/>
    <w:rsid w:val="00F34C0F"/>
    <w:rsid w:val="00F361FF"/>
    <w:rsid w:val="00F36D0D"/>
    <w:rsid w:val="00F42308"/>
    <w:rsid w:val="00F45CE2"/>
    <w:rsid w:val="00F55B15"/>
    <w:rsid w:val="00F575FD"/>
    <w:rsid w:val="00F62AE8"/>
    <w:rsid w:val="00F662F1"/>
    <w:rsid w:val="00F74066"/>
    <w:rsid w:val="00F76053"/>
    <w:rsid w:val="00F763FD"/>
    <w:rsid w:val="00F76413"/>
    <w:rsid w:val="00F7650D"/>
    <w:rsid w:val="00F85A97"/>
    <w:rsid w:val="00F91D4D"/>
    <w:rsid w:val="00F9559F"/>
    <w:rsid w:val="00F9724D"/>
    <w:rsid w:val="00FA3A18"/>
    <w:rsid w:val="00FB0778"/>
    <w:rsid w:val="00FB46FE"/>
    <w:rsid w:val="00FC3457"/>
    <w:rsid w:val="00FD057A"/>
    <w:rsid w:val="00FD36B3"/>
    <w:rsid w:val="00FD3E37"/>
    <w:rsid w:val="00FD4ED0"/>
    <w:rsid w:val="00FD5212"/>
    <w:rsid w:val="00FE659F"/>
    <w:rsid w:val="00FE7844"/>
    <w:rsid w:val="00FF0B6B"/>
    <w:rsid w:val="00FF1382"/>
    <w:rsid w:val="00FF2E5B"/>
    <w:rsid w:val="00FF4EAF"/>
    <w:rsid w:val="00FF6011"/>
    <w:rsid w:val="00FF719F"/>
    <w:rsid w:val="00FF7F9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4:docId w14:val="2A7B88D2"/>
  <w15:docId w15:val="{34811AE0-D2AA-4E39-9BD5-92B214D9C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E285C"/>
  </w:style>
  <w:style w:type="paragraph" w:styleId="Heading2">
    <w:name w:val="heading 2"/>
    <w:basedOn w:val="Normal"/>
    <w:next w:val="Normal"/>
    <w:qFormat/>
    <w:rsid w:val="004D1B27"/>
    <w:pPr>
      <w:keepNext/>
      <w:jc w:val="right"/>
      <w:outlineLvl w:val="1"/>
    </w:pPr>
    <w:rPr>
      <w:i/>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Body Text Indent Char Char Char Char,Body Text Indent Char Char Char,Body Text Indent Char Char Char Char Char Char Char,Body Text Indent Char Char,Body Text Indent Char Char Char Char Char Char,Char Char"/>
    <w:basedOn w:val="Normal"/>
    <w:link w:val="BodyTextIndentChar"/>
    <w:rsid w:val="004E285C"/>
    <w:pPr>
      <w:ind w:firstLine="1200"/>
      <w:jc w:val="both"/>
    </w:pPr>
    <w:rPr>
      <w:sz w:val="28"/>
    </w:rPr>
  </w:style>
  <w:style w:type="paragraph" w:customStyle="1" w:styleId="DefaultParagraphFontParaCharCharCharCharChar">
    <w:name w:val="Default Paragraph Font Para Char Char Char Char Char"/>
    <w:autoRedefine/>
    <w:rsid w:val="00200201"/>
    <w:pPr>
      <w:tabs>
        <w:tab w:val="left" w:pos="1152"/>
      </w:tabs>
      <w:spacing w:before="120" w:after="120" w:line="312" w:lineRule="auto"/>
    </w:pPr>
    <w:rPr>
      <w:rFonts w:ascii="Arial" w:hAnsi="Arial" w:cs="Arial"/>
      <w:sz w:val="26"/>
      <w:szCs w:val="26"/>
    </w:rPr>
  </w:style>
  <w:style w:type="paragraph" w:styleId="Header">
    <w:name w:val="header"/>
    <w:basedOn w:val="Normal"/>
    <w:rsid w:val="00902ED8"/>
    <w:pPr>
      <w:tabs>
        <w:tab w:val="center" w:pos="4320"/>
        <w:tab w:val="right" w:pos="8640"/>
      </w:tabs>
    </w:pPr>
  </w:style>
  <w:style w:type="character" w:styleId="PageNumber">
    <w:name w:val="page number"/>
    <w:basedOn w:val="DefaultParagraphFont"/>
    <w:rsid w:val="00902ED8"/>
  </w:style>
  <w:style w:type="paragraph" w:styleId="Footer">
    <w:name w:val="footer"/>
    <w:basedOn w:val="Normal"/>
    <w:rsid w:val="00902ED8"/>
    <w:pPr>
      <w:tabs>
        <w:tab w:val="center" w:pos="4320"/>
        <w:tab w:val="right" w:pos="8640"/>
      </w:tabs>
    </w:pPr>
  </w:style>
  <w:style w:type="table" w:styleId="TableGrid">
    <w:name w:val="Table Grid"/>
    <w:basedOn w:val="TableNormal"/>
    <w:rsid w:val="00900C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IndentChar">
    <w:name w:val="Body Text Indent Char"/>
    <w:aliases w:val="Body Text Indent Char Char Char Char Char,Body Text Indent Char Char Char Char1,Body Text Indent Char Char Char Char Char Char Char Char,Body Text Indent Char Char Char1,Body Text Indent Char Char Char Char Char Char Char1"/>
    <w:basedOn w:val="DefaultParagraphFont"/>
    <w:link w:val="BodyTextIndent"/>
    <w:rsid w:val="003308FC"/>
    <w:rPr>
      <w:sz w:val="28"/>
      <w:lang w:val="en-US" w:eastAsia="en-US" w:bidi="ar-SA"/>
    </w:rPr>
  </w:style>
  <w:style w:type="paragraph" w:styleId="BodyText">
    <w:name w:val="Body Text"/>
    <w:basedOn w:val="Normal"/>
    <w:link w:val="BodyTextChar"/>
    <w:rsid w:val="00931ACE"/>
    <w:pPr>
      <w:jc w:val="center"/>
    </w:pPr>
    <w:rPr>
      <w:sz w:val="30"/>
    </w:rPr>
  </w:style>
  <w:style w:type="paragraph" w:customStyle="1" w:styleId="MyStyleJ">
    <w:name w:val="MyStyleJ"/>
    <w:basedOn w:val="Normal"/>
    <w:qFormat/>
    <w:rsid w:val="00ED0A0F"/>
    <w:pPr>
      <w:spacing w:before="120" w:line="276" w:lineRule="auto"/>
      <w:jc w:val="both"/>
    </w:pPr>
    <w:rPr>
      <w:sz w:val="26"/>
    </w:rPr>
  </w:style>
  <w:style w:type="paragraph" w:customStyle="1" w:styleId="MyStyle2">
    <w:name w:val="MyStyle2"/>
    <w:basedOn w:val="Normal"/>
    <w:qFormat/>
    <w:rsid w:val="00ED0A0F"/>
    <w:rPr>
      <w:b/>
      <w:sz w:val="26"/>
    </w:rPr>
  </w:style>
  <w:style w:type="paragraph" w:customStyle="1" w:styleId="MyStye3">
    <w:name w:val="MyStye3"/>
    <w:basedOn w:val="MyStyle2"/>
    <w:rsid w:val="00ED0A0F"/>
    <w:pPr>
      <w:suppressAutoHyphens/>
      <w:spacing w:before="120"/>
      <w:ind w:firstLine="720"/>
    </w:pPr>
    <w:rPr>
      <w:i/>
      <w:lang w:eastAsia="ar-SA"/>
    </w:rPr>
  </w:style>
  <w:style w:type="paragraph" w:customStyle="1" w:styleId="MyStyle3">
    <w:name w:val="MyStyle3"/>
    <w:basedOn w:val="MyStyle2"/>
    <w:uiPriority w:val="99"/>
    <w:qFormat/>
    <w:rsid w:val="00ED0A0F"/>
    <w:pPr>
      <w:spacing w:before="120" w:after="120"/>
      <w:outlineLvl w:val="2"/>
    </w:pPr>
    <w:rPr>
      <w:i/>
    </w:rPr>
  </w:style>
  <w:style w:type="paragraph" w:styleId="BodyText2">
    <w:name w:val="Body Text 2"/>
    <w:basedOn w:val="Normal"/>
    <w:link w:val="BodyText2Char"/>
    <w:rsid w:val="00855ACB"/>
    <w:pPr>
      <w:jc w:val="both"/>
    </w:pPr>
    <w:rPr>
      <w:sz w:val="28"/>
      <w:szCs w:val="24"/>
    </w:rPr>
  </w:style>
  <w:style w:type="character" w:customStyle="1" w:styleId="BodyText2Char">
    <w:name w:val="Body Text 2 Char"/>
    <w:basedOn w:val="DefaultParagraphFont"/>
    <w:link w:val="BodyText2"/>
    <w:rsid w:val="00855ACB"/>
    <w:rPr>
      <w:sz w:val="28"/>
      <w:szCs w:val="24"/>
    </w:rPr>
  </w:style>
  <w:style w:type="paragraph" w:styleId="BalloonText">
    <w:name w:val="Balloon Text"/>
    <w:basedOn w:val="Normal"/>
    <w:link w:val="BalloonTextChar"/>
    <w:rsid w:val="008B230B"/>
    <w:rPr>
      <w:rFonts w:ascii="Tahoma" w:hAnsi="Tahoma" w:cs="Tahoma"/>
      <w:sz w:val="16"/>
      <w:szCs w:val="16"/>
    </w:rPr>
  </w:style>
  <w:style w:type="character" w:customStyle="1" w:styleId="BalloonTextChar">
    <w:name w:val="Balloon Text Char"/>
    <w:basedOn w:val="DefaultParagraphFont"/>
    <w:link w:val="BalloonText"/>
    <w:rsid w:val="008B230B"/>
    <w:rPr>
      <w:rFonts w:ascii="Tahoma" w:hAnsi="Tahoma" w:cs="Tahoma"/>
      <w:sz w:val="16"/>
      <w:szCs w:val="16"/>
    </w:rPr>
  </w:style>
  <w:style w:type="character" w:customStyle="1" w:styleId="BodyTextChar">
    <w:name w:val="Body Text Char"/>
    <w:basedOn w:val="DefaultParagraphFont"/>
    <w:link w:val="BodyText"/>
    <w:rsid w:val="00A3343A"/>
    <w:rPr>
      <w:sz w:val="30"/>
    </w:rPr>
  </w:style>
  <w:style w:type="paragraph" w:styleId="FootnoteText">
    <w:name w:val="footnote text"/>
    <w:basedOn w:val="Normal"/>
    <w:link w:val="FootnoteTextChar"/>
    <w:uiPriority w:val="99"/>
    <w:rsid w:val="007B5827"/>
  </w:style>
  <w:style w:type="character" w:customStyle="1" w:styleId="FootnoteTextChar">
    <w:name w:val="Footnote Text Char"/>
    <w:basedOn w:val="DefaultParagraphFont"/>
    <w:link w:val="FootnoteText"/>
    <w:uiPriority w:val="99"/>
    <w:rsid w:val="007B5827"/>
  </w:style>
  <w:style w:type="character" w:styleId="FootnoteReference">
    <w:name w:val="footnote reference"/>
    <w:basedOn w:val="DefaultParagraphFont"/>
    <w:uiPriority w:val="99"/>
    <w:rsid w:val="007B5827"/>
    <w:rPr>
      <w:vertAlign w:val="superscript"/>
    </w:rPr>
  </w:style>
  <w:style w:type="paragraph" w:styleId="DocumentMap">
    <w:name w:val="Document Map"/>
    <w:basedOn w:val="Normal"/>
    <w:link w:val="DocumentMapChar"/>
    <w:rsid w:val="00F42308"/>
    <w:rPr>
      <w:rFonts w:ascii="Tahoma" w:hAnsi="Tahoma" w:cs="Tahoma"/>
      <w:sz w:val="16"/>
      <w:szCs w:val="16"/>
    </w:rPr>
  </w:style>
  <w:style w:type="character" w:customStyle="1" w:styleId="DocumentMapChar">
    <w:name w:val="Document Map Char"/>
    <w:basedOn w:val="DefaultParagraphFont"/>
    <w:link w:val="DocumentMap"/>
    <w:rsid w:val="00F42308"/>
    <w:rPr>
      <w:rFonts w:ascii="Tahoma" w:hAnsi="Tahoma" w:cs="Tahoma"/>
      <w:sz w:val="16"/>
      <w:szCs w:val="16"/>
    </w:rPr>
  </w:style>
  <w:style w:type="character" w:styleId="CommentReference">
    <w:name w:val="annotation reference"/>
    <w:basedOn w:val="DefaultParagraphFont"/>
    <w:uiPriority w:val="99"/>
    <w:semiHidden/>
    <w:unhideWhenUsed/>
    <w:rsid w:val="00BA28C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4</Pages>
  <Words>928</Words>
  <Characters>5291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er</vt:lpstr>
    </vt:vector>
  </TitlesOfParts>
  <Company>VTHA</Company>
  <LinksUpToDate>false</LinksUpToDate>
  <CharactersWithSpaces>6207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dc:title>
  <dc:creator>TT</dc:creator>
  <cp:lastModifiedBy>A</cp:lastModifiedBy>
  <cp:revision>9</cp:revision>
  <cp:lastPrinted>2020-10-19T01:02:00Z</cp:lastPrinted>
  <dcterms:created xsi:type="dcterms:W3CDTF">2020-12-04T09:25:00Z</dcterms:created>
  <dcterms:modified xsi:type="dcterms:W3CDTF">2020-12-11T08:43:00Z</dcterms:modified>
</cp:coreProperties>
</file>